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EB87" w14:textId="34A4D9F1" w:rsidR="007515F5" w:rsidRPr="00E02849" w:rsidRDefault="007515F5" w:rsidP="00D8144B">
      <w:pPr>
        <w:jc w:val="center"/>
        <w:rPr>
          <w:rFonts w:cs="Times New Roman"/>
          <w:b/>
          <w:sz w:val="27"/>
          <w:szCs w:val="27"/>
        </w:rPr>
      </w:pPr>
      <w:r w:rsidRPr="00E02849">
        <w:rPr>
          <w:rFonts w:cs="Times New Roman"/>
          <w:b/>
          <w:sz w:val="27"/>
          <w:szCs w:val="27"/>
        </w:rPr>
        <w:t>GIẢI ĐÁP PHÁP LUẬT</w:t>
      </w:r>
    </w:p>
    <w:p w14:paraId="3349C2F3" w14:textId="74AE4578" w:rsidR="006A01C5" w:rsidRPr="00E02849" w:rsidRDefault="006A01C5" w:rsidP="00D8144B">
      <w:pPr>
        <w:jc w:val="center"/>
        <w:rPr>
          <w:rFonts w:cs="Times New Roman"/>
          <w:b/>
          <w:sz w:val="27"/>
          <w:szCs w:val="27"/>
        </w:rPr>
      </w:pPr>
      <w:r w:rsidRPr="00E02849">
        <w:rPr>
          <w:rFonts w:cs="Times New Roman"/>
          <w:b/>
          <w:sz w:val="27"/>
          <w:szCs w:val="27"/>
        </w:rPr>
        <w:t xml:space="preserve">THÁNG </w:t>
      </w:r>
      <w:r w:rsidR="00A56E84" w:rsidRPr="00E02849">
        <w:rPr>
          <w:rFonts w:cs="Times New Roman"/>
          <w:b/>
          <w:sz w:val="27"/>
          <w:szCs w:val="27"/>
        </w:rPr>
        <w:t>6</w:t>
      </w:r>
      <w:r w:rsidRPr="00E02849">
        <w:rPr>
          <w:rFonts w:cs="Times New Roman"/>
          <w:b/>
          <w:sz w:val="27"/>
          <w:szCs w:val="27"/>
        </w:rPr>
        <w:t>/2023</w:t>
      </w:r>
    </w:p>
    <w:p w14:paraId="3BF4777B" w14:textId="77777777" w:rsidR="007515F5" w:rsidRPr="00E02849" w:rsidRDefault="007515F5" w:rsidP="00D8144B">
      <w:pPr>
        <w:rPr>
          <w:rFonts w:cs="Times New Roman"/>
          <w:b/>
          <w:sz w:val="27"/>
          <w:szCs w:val="27"/>
        </w:rPr>
      </w:pPr>
    </w:p>
    <w:p w14:paraId="2C987091" w14:textId="77777777" w:rsidR="007515F5" w:rsidRPr="00E02849" w:rsidRDefault="007515F5" w:rsidP="00D8144B">
      <w:pPr>
        <w:tabs>
          <w:tab w:val="left" w:pos="993"/>
          <w:tab w:val="left" w:pos="1276"/>
        </w:tabs>
        <w:ind w:firstLine="709"/>
        <w:jc w:val="right"/>
        <w:rPr>
          <w:rFonts w:cs="Times New Roman"/>
          <w:bCs/>
          <w:sz w:val="27"/>
          <w:szCs w:val="27"/>
        </w:rPr>
      </w:pPr>
      <w:r w:rsidRPr="00E02849">
        <w:rPr>
          <w:rFonts w:cs="Times New Roman"/>
          <w:bCs/>
          <w:sz w:val="27"/>
          <w:szCs w:val="27"/>
        </w:rPr>
        <w:t>Văn phòng Tư vấn pháp luật</w:t>
      </w:r>
    </w:p>
    <w:p w14:paraId="6F233E12" w14:textId="77777777" w:rsidR="007515F5" w:rsidRPr="00E02849" w:rsidRDefault="007515F5" w:rsidP="00D8144B">
      <w:pPr>
        <w:autoSpaceDE w:val="0"/>
        <w:autoSpaceDN w:val="0"/>
        <w:adjustRightInd w:val="0"/>
        <w:ind w:firstLine="709"/>
        <w:rPr>
          <w:rFonts w:cs="Times New Roman"/>
          <w:bCs/>
          <w:sz w:val="27"/>
          <w:szCs w:val="27"/>
        </w:rPr>
      </w:pPr>
    </w:p>
    <w:p w14:paraId="5E0A398B" w14:textId="3B9B68A1" w:rsidR="00192706" w:rsidRPr="00E02849" w:rsidRDefault="007515F5" w:rsidP="00D8144B">
      <w:pPr>
        <w:ind w:firstLine="709"/>
        <w:rPr>
          <w:rFonts w:eastAsia="Times New Roman" w:cs="Times New Roman"/>
          <w:b/>
          <w:sz w:val="27"/>
          <w:szCs w:val="27"/>
        </w:rPr>
      </w:pPr>
      <w:r w:rsidRPr="00E02849">
        <w:rPr>
          <w:rFonts w:cs="Times New Roman"/>
          <w:bCs/>
          <w:sz w:val="27"/>
          <w:szCs w:val="27"/>
        </w:rPr>
        <w:tab/>
      </w:r>
      <w:r w:rsidR="00192706" w:rsidRPr="00E02849">
        <w:rPr>
          <w:rFonts w:eastAsia="Times New Roman" w:cs="Times New Roman"/>
          <w:b/>
          <w:sz w:val="27"/>
          <w:szCs w:val="27"/>
        </w:rPr>
        <w:t>Câu 1.</w:t>
      </w:r>
    </w:p>
    <w:p w14:paraId="494E6A3A" w14:textId="641BCE08" w:rsidR="00192706" w:rsidRPr="00E02849" w:rsidRDefault="003F2ED5" w:rsidP="00D8144B">
      <w:pPr>
        <w:ind w:firstLine="720"/>
        <w:textAlignment w:val="baseline"/>
        <w:outlineLvl w:val="0"/>
        <w:rPr>
          <w:rFonts w:eastAsia="Times New Roman" w:cs="Times New Roman"/>
          <w:bCs/>
          <w:sz w:val="27"/>
          <w:szCs w:val="27"/>
        </w:rPr>
      </w:pPr>
      <w:r w:rsidRPr="00E02849">
        <w:rPr>
          <w:rFonts w:cs="Times New Roman"/>
          <w:bCs/>
          <w:sz w:val="27"/>
          <w:szCs w:val="27"/>
        </w:rPr>
        <w:t>Số lượng ủy viên Ban Chấp hành công đoàn các cấp được</w:t>
      </w:r>
      <w:r w:rsidR="00D8144B" w:rsidRPr="00E02849">
        <w:rPr>
          <w:rFonts w:cs="Times New Roman"/>
          <w:bCs/>
          <w:sz w:val="27"/>
          <w:szCs w:val="27"/>
        </w:rPr>
        <w:t xml:space="preserve"> TLĐ LĐVN</w:t>
      </w:r>
      <w:r w:rsidRPr="00E02849">
        <w:rPr>
          <w:rFonts w:cs="Times New Roman"/>
          <w:bCs/>
          <w:sz w:val="27"/>
          <w:szCs w:val="27"/>
        </w:rPr>
        <w:t xml:space="preserve"> quy định như thế nào?</w:t>
      </w:r>
    </w:p>
    <w:p w14:paraId="604E2004" w14:textId="77777777" w:rsidR="00192706" w:rsidRPr="00E02849" w:rsidRDefault="00192706" w:rsidP="00D8144B">
      <w:pPr>
        <w:ind w:firstLine="720"/>
        <w:textAlignment w:val="baseline"/>
        <w:rPr>
          <w:rFonts w:eastAsia="Times New Roman" w:cs="Times New Roman"/>
          <w:b/>
          <w:i/>
          <w:iCs/>
          <w:sz w:val="27"/>
          <w:szCs w:val="27"/>
        </w:rPr>
      </w:pPr>
      <w:r w:rsidRPr="00E02849">
        <w:rPr>
          <w:rFonts w:eastAsia="Times New Roman" w:cs="Times New Roman"/>
          <w:b/>
          <w:i/>
          <w:iCs/>
          <w:sz w:val="27"/>
          <w:szCs w:val="27"/>
        </w:rPr>
        <w:t xml:space="preserve">Trả lời: </w:t>
      </w:r>
    </w:p>
    <w:p w14:paraId="280EBBD0" w14:textId="6CA6BF0E" w:rsidR="0076010E" w:rsidRPr="00E02849" w:rsidRDefault="0076010E" w:rsidP="00D8144B">
      <w:pPr>
        <w:ind w:firstLine="720"/>
        <w:rPr>
          <w:rFonts w:cs="Times New Roman"/>
          <w:bCs/>
          <w:sz w:val="27"/>
          <w:szCs w:val="27"/>
        </w:rPr>
      </w:pPr>
      <w:r w:rsidRPr="00E02849">
        <w:rPr>
          <w:rFonts w:cs="Times New Roman"/>
          <w:bCs/>
          <w:sz w:val="27"/>
          <w:szCs w:val="27"/>
        </w:rPr>
        <w:t>Căn cứ Mục 9 Hướng dẫn số 03/HD-TLĐ ngày 20/02/2020 của Đoàn Chủ tịch Tổng Liên đoàn Lao động Việt Nam về hướng dẫn thi hành Điều lệ Công đoàn Việt Nam:</w:t>
      </w:r>
    </w:p>
    <w:p w14:paraId="587587BF" w14:textId="77777777" w:rsidR="0076010E" w:rsidRPr="00E02849" w:rsidRDefault="0076010E" w:rsidP="00D8144B">
      <w:pPr>
        <w:ind w:firstLine="560"/>
        <w:rPr>
          <w:rFonts w:cs="Times New Roman"/>
          <w:bCs/>
          <w:sz w:val="27"/>
          <w:szCs w:val="27"/>
        </w:rPr>
      </w:pPr>
      <w:r w:rsidRPr="00E02849">
        <w:rPr>
          <w:rFonts w:cs="Times New Roman"/>
          <w:bCs/>
          <w:sz w:val="27"/>
          <w:szCs w:val="27"/>
        </w:rPr>
        <w:t>“9. Ban Chấp hành công đoàn các cấp theo Điều 11</w:t>
      </w:r>
    </w:p>
    <w:p w14:paraId="2FE5A20C" w14:textId="77777777" w:rsidR="0076010E" w:rsidRPr="00E02849" w:rsidRDefault="0076010E" w:rsidP="00D8144B">
      <w:pPr>
        <w:ind w:firstLine="560"/>
        <w:rPr>
          <w:rFonts w:cs="Times New Roman"/>
          <w:bCs/>
          <w:sz w:val="27"/>
          <w:szCs w:val="27"/>
        </w:rPr>
      </w:pPr>
      <w:r w:rsidRPr="00E02849">
        <w:rPr>
          <w:rFonts w:cs="Times New Roman"/>
          <w:bCs/>
          <w:sz w:val="27"/>
          <w:szCs w:val="27"/>
        </w:rPr>
        <w:t>9.1. Số lượng ủy viên Ban Chấp hành công đoàn cấp nào do đại hội, hội nghị công đoàn cấp đó quyết định như sau:</w:t>
      </w:r>
    </w:p>
    <w:p w14:paraId="17868346" w14:textId="77777777" w:rsidR="0076010E" w:rsidRPr="00E02849" w:rsidRDefault="0076010E" w:rsidP="00D8144B">
      <w:pPr>
        <w:ind w:firstLine="560"/>
        <w:rPr>
          <w:rFonts w:cs="Times New Roman"/>
          <w:bCs/>
          <w:sz w:val="27"/>
          <w:szCs w:val="27"/>
        </w:rPr>
      </w:pPr>
      <w:r w:rsidRPr="00E02849">
        <w:rPr>
          <w:rFonts w:cs="Times New Roman"/>
          <w:bCs/>
          <w:sz w:val="27"/>
          <w:szCs w:val="27"/>
        </w:rPr>
        <w:t>a. Công đoàn cơ sở</w:t>
      </w:r>
    </w:p>
    <w:p w14:paraId="1E66D0E6" w14:textId="77777777" w:rsidR="0076010E" w:rsidRPr="00E02849" w:rsidRDefault="0076010E" w:rsidP="00D8144B">
      <w:pPr>
        <w:ind w:firstLine="560"/>
        <w:rPr>
          <w:rFonts w:cs="Times New Roman"/>
          <w:bCs/>
          <w:sz w:val="27"/>
          <w:szCs w:val="27"/>
        </w:rPr>
      </w:pPr>
      <w:r w:rsidRPr="00E02849">
        <w:rPr>
          <w:rFonts w:cs="Times New Roman"/>
          <w:bCs/>
          <w:sz w:val="27"/>
          <w:szCs w:val="27"/>
        </w:rPr>
        <w:t>- Ban Chấp hành công đoàn cơ sở từ 03 đến 15 ủy viên. Nơi có từ 3.000 đoàn viên trở lên có thể tăng thêm nhưng không quá 19 ủy viên. Riêng các công đoàn cơ sở thực hiện thí điểm tăng số lượng Ban Chấp hành công đoàn cơ sở theo Mục II, Hướng dẫn số 132/HD-TLĐ ngày 17/02/2017 thì giữ nguyên số lượng đến hết nhiệm kỳ.</w:t>
      </w:r>
    </w:p>
    <w:p w14:paraId="6968D16F" w14:textId="77777777" w:rsidR="0076010E" w:rsidRPr="00E02849" w:rsidRDefault="0076010E" w:rsidP="00D8144B">
      <w:pPr>
        <w:ind w:firstLine="560"/>
        <w:rPr>
          <w:rFonts w:cs="Times New Roman"/>
          <w:bCs/>
          <w:sz w:val="27"/>
          <w:szCs w:val="27"/>
        </w:rPr>
      </w:pPr>
      <w:r w:rsidRPr="00E02849">
        <w:rPr>
          <w:rFonts w:cs="Times New Roman"/>
          <w:bCs/>
          <w:sz w:val="27"/>
          <w:szCs w:val="27"/>
        </w:rPr>
        <w:t>- Ban Chấp hành công đoàn cơ sở thành viên từ 03 đến 15 ủy viên.</w:t>
      </w:r>
    </w:p>
    <w:p w14:paraId="75376CE8" w14:textId="77777777" w:rsidR="0076010E" w:rsidRPr="00E02849" w:rsidRDefault="0076010E" w:rsidP="00D8144B">
      <w:pPr>
        <w:ind w:firstLine="560"/>
        <w:rPr>
          <w:rFonts w:cs="Times New Roman"/>
          <w:bCs/>
          <w:sz w:val="27"/>
          <w:szCs w:val="27"/>
        </w:rPr>
      </w:pPr>
      <w:r w:rsidRPr="00E02849">
        <w:rPr>
          <w:rFonts w:cs="Times New Roman"/>
          <w:bCs/>
          <w:sz w:val="27"/>
          <w:szCs w:val="27"/>
        </w:rPr>
        <w:t>- Ban Chấp hành công đoàn bộ phận từ 03 đến 07 ủy viên.</w:t>
      </w:r>
    </w:p>
    <w:p w14:paraId="6A59FB76" w14:textId="77777777" w:rsidR="0076010E" w:rsidRPr="00E02849" w:rsidRDefault="0076010E" w:rsidP="00D8144B">
      <w:pPr>
        <w:ind w:firstLine="560"/>
        <w:rPr>
          <w:rFonts w:cs="Times New Roman"/>
          <w:bCs/>
          <w:sz w:val="27"/>
          <w:szCs w:val="27"/>
        </w:rPr>
      </w:pPr>
      <w:r w:rsidRPr="00E02849">
        <w:rPr>
          <w:rFonts w:cs="Times New Roman"/>
          <w:bCs/>
          <w:sz w:val="27"/>
          <w:szCs w:val="27"/>
        </w:rPr>
        <w:t>- Nơi có dưới 10 đoàn viên bầu chức danh chủ tịch (không bầu ban Ban Chấp hành).</w:t>
      </w:r>
    </w:p>
    <w:p w14:paraId="1910CF63" w14:textId="77777777" w:rsidR="0076010E" w:rsidRPr="00E02849" w:rsidRDefault="0076010E" w:rsidP="00D8144B">
      <w:pPr>
        <w:ind w:firstLine="560"/>
        <w:rPr>
          <w:rFonts w:cs="Times New Roman"/>
          <w:bCs/>
          <w:sz w:val="27"/>
          <w:szCs w:val="27"/>
        </w:rPr>
      </w:pPr>
      <w:r w:rsidRPr="00E02849">
        <w:rPr>
          <w:rFonts w:cs="Times New Roman"/>
          <w:bCs/>
          <w:sz w:val="27"/>
          <w:szCs w:val="27"/>
        </w:rPr>
        <w:t>b. Ban Chấp hành công đoàn cấp trên trực tiếp cơ sở không quá 27 ủy viên; Ban Chấp hành công đoàn tổng công ty trực thuộc Tổng Liên đoàn không quá 35 ủy viên.</w:t>
      </w:r>
    </w:p>
    <w:p w14:paraId="34F0C38F" w14:textId="77777777" w:rsidR="0076010E" w:rsidRPr="00E02849" w:rsidRDefault="0076010E" w:rsidP="00D8144B">
      <w:pPr>
        <w:ind w:firstLine="560"/>
        <w:rPr>
          <w:rFonts w:cs="Times New Roman"/>
          <w:bCs/>
          <w:sz w:val="27"/>
          <w:szCs w:val="27"/>
        </w:rPr>
      </w:pPr>
      <w:r w:rsidRPr="00E02849">
        <w:rPr>
          <w:rFonts w:cs="Times New Roman"/>
          <w:bCs/>
          <w:sz w:val="27"/>
          <w:szCs w:val="27"/>
        </w:rPr>
        <w:t>c. Ban Chấp hành Công đoàn ngành trung ương và tương đương, Ban Chấp hành liên đoàn lao động tỉnh, thành phố không quá 35 ủy viên; công đoàn ngành trung ương, liên đoàn lao động tỉnh, thành phố có từ 100.000 đoàn viên trở lên có thể tăng thêm số lượng ủy viên Ban Chấp hành nhưng không quá 49 ủy viên. Ban Chấp hành Liên đoàn Lao động thành phố Hà Nội, Liên đoàn Lao động thành phố Hồ Chí Minh không quá 55 ủy viên.</w:t>
      </w:r>
    </w:p>
    <w:p w14:paraId="138B2071" w14:textId="77777777" w:rsidR="0076010E" w:rsidRPr="00E02849" w:rsidRDefault="0076010E" w:rsidP="00D8144B">
      <w:pPr>
        <w:ind w:firstLine="560"/>
        <w:rPr>
          <w:rFonts w:cs="Times New Roman"/>
          <w:bCs/>
          <w:sz w:val="27"/>
          <w:szCs w:val="27"/>
        </w:rPr>
      </w:pPr>
      <w:r w:rsidRPr="00E02849">
        <w:rPr>
          <w:rFonts w:cs="Times New Roman"/>
          <w:bCs/>
          <w:sz w:val="27"/>
          <w:szCs w:val="27"/>
        </w:rPr>
        <w:t>d. Trường hợp cần tăng thêm số lượng Ban Chấp hành vượt quá số lượng đã được đại hội thông qua hoặc quy định về số lượng tối đa, phải được công đoàn cấp trên trực tiếp đồng ý. Số lượng Ban Chấp hành tăng thêm không vượt quá 10% so với quy định tại điểm a, điểm b, điểm c Mục 9.1 của Hướng dẫn này.”.</w:t>
      </w:r>
    </w:p>
    <w:p w14:paraId="302F1757" w14:textId="77777777" w:rsidR="00192706" w:rsidRPr="00E02849" w:rsidRDefault="00192706" w:rsidP="00D8144B">
      <w:pPr>
        <w:ind w:firstLine="720"/>
        <w:textAlignment w:val="baseline"/>
        <w:rPr>
          <w:rFonts w:eastAsia="Times New Roman" w:cs="Times New Roman"/>
          <w:bCs/>
          <w:sz w:val="27"/>
          <w:szCs w:val="27"/>
        </w:rPr>
      </w:pPr>
    </w:p>
    <w:p w14:paraId="2F7CCC66" w14:textId="7AC95863" w:rsidR="00E33BEB" w:rsidRPr="00E02849" w:rsidRDefault="00E33BEB" w:rsidP="00D8144B">
      <w:pPr>
        <w:ind w:firstLine="720"/>
        <w:textAlignment w:val="baseline"/>
        <w:outlineLvl w:val="0"/>
        <w:rPr>
          <w:rFonts w:eastAsia="Times New Roman" w:cs="Times New Roman"/>
          <w:b/>
          <w:sz w:val="27"/>
          <w:szCs w:val="27"/>
        </w:rPr>
      </w:pPr>
      <w:r w:rsidRPr="00E02849">
        <w:rPr>
          <w:rFonts w:eastAsia="Times New Roman" w:cs="Times New Roman"/>
          <w:b/>
          <w:sz w:val="27"/>
          <w:szCs w:val="27"/>
        </w:rPr>
        <w:t xml:space="preserve">Câu </w:t>
      </w:r>
      <w:r w:rsidR="003F2ED5" w:rsidRPr="00E02849">
        <w:rPr>
          <w:rFonts w:eastAsia="Times New Roman" w:cs="Times New Roman"/>
          <w:b/>
          <w:sz w:val="27"/>
          <w:szCs w:val="27"/>
        </w:rPr>
        <w:t>2.</w:t>
      </w:r>
    </w:p>
    <w:p w14:paraId="61BA4197" w14:textId="77777777" w:rsidR="00E33BEB" w:rsidRPr="00E02849" w:rsidRDefault="00E33BEB" w:rsidP="00D8144B">
      <w:pPr>
        <w:ind w:firstLine="720"/>
        <w:textAlignment w:val="baseline"/>
        <w:outlineLvl w:val="0"/>
        <w:rPr>
          <w:rFonts w:eastAsia="Times New Roman" w:cs="Times New Roman"/>
          <w:bCs/>
          <w:sz w:val="27"/>
          <w:szCs w:val="27"/>
        </w:rPr>
      </w:pPr>
      <w:r w:rsidRPr="00E02849">
        <w:rPr>
          <w:rFonts w:eastAsia="Times New Roman" w:cs="Times New Roman"/>
          <w:bCs/>
          <w:sz w:val="27"/>
          <w:szCs w:val="27"/>
        </w:rPr>
        <w:t>Đại hội công đoàn có bao nhiêu đại biểu chính thức tham dự mới có giá trị?</w:t>
      </w:r>
    </w:p>
    <w:p w14:paraId="7940E3BC" w14:textId="77777777" w:rsidR="00E33BEB" w:rsidRPr="00E02849" w:rsidRDefault="00E33BEB" w:rsidP="00D8144B">
      <w:pPr>
        <w:ind w:firstLine="720"/>
        <w:textAlignment w:val="baseline"/>
        <w:rPr>
          <w:rFonts w:eastAsia="Times New Roman" w:cs="Times New Roman"/>
          <w:b/>
          <w:i/>
          <w:iCs/>
          <w:sz w:val="27"/>
          <w:szCs w:val="27"/>
        </w:rPr>
      </w:pPr>
      <w:r w:rsidRPr="00E02849">
        <w:rPr>
          <w:rFonts w:eastAsia="Times New Roman" w:cs="Times New Roman"/>
          <w:b/>
          <w:i/>
          <w:iCs/>
          <w:sz w:val="27"/>
          <w:szCs w:val="27"/>
        </w:rPr>
        <w:t xml:space="preserve">Trả lời: </w:t>
      </w:r>
    </w:p>
    <w:p w14:paraId="496DA55F" w14:textId="77777777" w:rsidR="00E33BEB" w:rsidRPr="00E02849" w:rsidRDefault="00E33BEB" w:rsidP="00D8144B">
      <w:pPr>
        <w:ind w:firstLine="720"/>
        <w:textAlignment w:val="baseline"/>
        <w:rPr>
          <w:rFonts w:eastAsia="Times New Roman" w:cs="Times New Roman"/>
          <w:bCs/>
          <w:sz w:val="27"/>
          <w:szCs w:val="27"/>
        </w:rPr>
      </w:pPr>
      <w:r w:rsidRPr="00E02849">
        <w:rPr>
          <w:rFonts w:eastAsia="Times New Roman" w:cs="Times New Roman"/>
          <w:bCs/>
          <w:sz w:val="27"/>
          <w:szCs w:val="27"/>
        </w:rPr>
        <w:t>Căn cứ Điều 10, Điều lệ Công đoàn Việt Nam quy định tại Khoản 1 “Đại hội, hội nghị công đoàn các cấp hợp lệ khi có ít nhất hai phần ba (2/3) tổng số thành viên được triệu tập tham dự”.</w:t>
      </w:r>
    </w:p>
    <w:p w14:paraId="3345E780" w14:textId="77777777" w:rsidR="003F2ED5" w:rsidRPr="00E02849" w:rsidRDefault="00E33BEB" w:rsidP="00D8144B">
      <w:pPr>
        <w:ind w:firstLine="720"/>
        <w:textAlignment w:val="baseline"/>
        <w:rPr>
          <w:rFonts w:eastAsia="Times New Roman" w:cs="Times New Roman"/>
          <w:bCs/>
          <w:sz w:val="27"/>
          <w:szCs w:val="27"/>
        </w:rPr>
      </w:pPr>
      <w:r w:rsidRPr="00E02849">
        <w:rPr>
          <w:rFonts w:eastAsia="Times New Roman" w:cs="Times New Roman"/>
          <w:bCs/>
          <w:sz w:val="27"/>
          <w:szCs w:val="27"/>
        </w:rPr>
        <w:t xml:space="preserve">Theo quy định trên, căn cứ vào số lượng đại biểu chính thức có mặt so với số lượng do BCH quyết định và triệu tập đúng hướng dẫn thi hành Điều lệ Công đoàn </w:t>
      </w:r>
      <w:r w:rsidRPr="00E02849">
        <w:rPr>
          <w:rFonts w:eastAsia="Times New Roman" w:cs="Times New Roman"/>
          <w:bCs/>
          <w:sz w:val="27"/>
          <w:szCs w:val="27"/>
        </w:rPr>
        <w:lastRenderedPageBreak/>
        <w:t>Việt Nam về số lượng đại biểu chính thức dự đại hội, khi có đủ 2/3 trở lên mới đủ điều kiện khai mạc đại hội, hội nghị</w:t>
      </w:r>
      <w:r w:rsidR="003F2ED5" w:rsidRPr="00E02849">
        <w:rPr>
          <w:rFonts w:eastAsia="Times New Roman" w:cs="Times New Roman"/>
          <w:bCs/>
          <w:sz w:val="27"/>
          <w:szCs w:val="27"/>
        </w:rPr>
        <w:t>.</w:t>
      </w:r>
    </w:p>
    <w:p w14:paraId="6E0C5A42" w14:textId="77777777" w:rsidR="003F2ED5" w:rsidRPr="00E02849" w:rsidRDefault="003F2ED5" w:rsidP="00D8144B">
      <w:pPr>
        <w:ind w:firstLine="720"/>
        <w:textAlignment w:val="baseline"/>
        <w:rPr>
          <w:rFonts w:eastAsia="Times New Roman" w:cs="Times New Roman"/>
          <w:bCs/>
          <w:sz w:val="27"/>
          <w:szCs w:val="27"/>
        </w:rPr>
      </w:pPr>
    </w:p>
    <w:p w14:paraId="3B8B1B3A" w14:textId="1FF56043" w:rsidR="003F2ED5" w:rsidRPr="00E02849" w:rsidRDefault="003F2ED5" w:rsidP="003504E3">
      <w:pPr>
        <w:ind w:firstLine="720"/>
        <w:textAlignment w:val="baseline"/>
        <w:rPr>
          <w:rStyle w:val="Strong"/>
          <w:rFonts w:cs="Times New Roman"/>
          <w:b w:val="0"/>
          <w:sz w:val="27"/>
          <w:szCs w:val="27"/>
        </w:rPr>
      </w:pPr>
      <w:r w:rsidRPr="00E02849">
        <w:rPr>
          <w:rFonts w:eastAsia="Times New Roman" w:cs="Times New Roman"/>
          <w:bCs/>
          <w:sz w:val="27"/>
          <w:szCs w:val="27"/>
        </w:rPr>
        <w:t xml:space="preserve"> </w:t>
      </w:r>
      <w:r w:rsidR="00A406B4" w:rsidRPr="00E02849">
        <w:rPr>
          <w:rStyle w:val="Strong"/>
          <w:rFonts w:cs="Times New Roman"/>
          <w:sz w:val="27"/>
          <w:szCs w:val="27"/>
        </w:rPr>
        <w:t>Câu</w:t>
      </w:r>
      <w:r w:rsidRPr="00E02849">
        <w:rPr>
          <w:rStyle w:val="Strong"/>
          <w:rFonts w:cs="Times New Roman"/>
          <w:sz w:val="27"/>
          <w:szCs w:val="27"/>
        </w:rPr>
        <w:t xml:space="preserve"> 3.</w:t>
      </w:r>
    </w:p>
    <w:p w14:paraId="389EE1AD" w14:textId="2A571D8C" w:rsidR="00A406B4" w:rsidRPr="00E02849" w:rsidRDefault="003504E3" w:rsidP="00D8144B">
      <w:pPr>
        <w:pStyle w:val="Heading2"/>
        <w:shd w:val="clear" w:color="auto" w:fill="FFFFFF"/>
        <w:spacing w:before="0" w:beforeAutospacing="0" w:after="0" w:afterAutospacing="0"/>
        <w:ind w:firstLine="720"/>
        <w:jc w:val="both"/>
        <w:rPr>
          <w:rStyle w:val="Strong"/>
          <w:bCs/>
          <w:sz w:val="27"/>
          <w:szCs w:val="27"/>
        </w:rPr>
      </w:pPr>
      <w:r w:rsidRPr="00E02849">
        <w:rPr>
          <w:rStyle w:val="Strong"/>
          <w:bCs/>
          <w:sz w:val="27"/>
          <w:szCs w:val="27"/>
        </w:rPr>
        <w:t>M</w:t>
      </w:r>
      <w:r w:rsidR="00A406B4" w:rsidRPr="00E02849">
        <w:rPr>
          <w:rStyle w:val="Strong"/>
          <w:bCs/>
          <w:sz w:val="27"/>
          <w:szCs w:val="27"/>
        </w:rPr>
        <w:t xml:space="preserve">ức lương cơ sở theo Nghị định 24/2023/NĐ-CP trong thanh toán chi phí khám chữa bệnh BHYT </w:t>
      </w:r>
      <w:r w:rsidRPr="00E02849">
        <w:rPr>
          <w:rStyle w:val="Strong"/>
          <w:bCs/>
          <w:sz w:val="27"/>
          <w:szCs w:val="27"/>
        </w:rPr>
        <w:t xml:space="preserve">được quy định </w:t>
      </w:r>
      <w:r w:rsidR="00A406B4" w:rsidRPr="00E02849">
        <w:rPr>
          <w:rStyle w:val="Strong"/>
          <w:bCs/>
          <w:sz w:val="27"/>
          <w:szCs w:val="27"/>
        </w:rPr>
        <w:t>như thế nào?</w:t>
      </w:r>
    </w:p>
    <w:p w14:paraId="4244852F" w14:textId="77777777" w:rsidR="00A406B4" w:rsidRPr="00E02849" w:rsidRDefault="00A406B4" w:rsidP="00D8144B">
      <w:pPr>
        <w:ind w:firstLine="720"/>
        <w:rPr>
          <w:rFonts w:eastAsia="Times New Roman" w:cs="Times New Roman"/>
          <w:b/>
          <w:i/>
          <w:iCs/>
          <w:sz w:val="27"/>
          <w:szCs w:val="27"/>
        </w:rPr>
      </w:pPr>
      <w:r w:rsidRPr="00E02849">
        <w:rPr>
          <w:rFonts w:eastAsia="Times New Roman" w:cs="Times New Roman"/>
          <w:b/>
          <w:i/>
          <w:iCs/>
          <w:sz w:val="27"/>
          <w:szCs w:val="27"/>
        </w:rPr>
        <w:t>Trả lời:</w:t>
      </w:r>
    </w:p>
    <w:p w14:paraId="59B64606"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bCs/>
          <w:sz w:val="27"/>
          <w:szCs w:val="27"/>
        </w:rPr>
        <w:t>Tại </w:t>
      </w:r>
      <w:hyperlink r:id="rId7" w:tgtFrame="_blank" w:history="1">
        <w:r w:rsidRPr="00E02849">
          <w:rPr>
            <w:rStyle w:val="Hyperlink"/>
            <w:bCs/>
            <w:color w:val="auto"/>
            <w:sz w:val="27"/>
            <w:szCs w:val="27"/>
            <w:u w:val="none"/>
          </w:rPr>
          <w:t>Công văn 4082/BYT-BH năm 2023</w:t>
        </w:r>
      </w:hyperlink>
      <w:r w:rsidRPr="00E02849">
        <w:rPr>
          <w:bCs/>
          <w:sz w:val="27"/>
          <w:szCs w:val="27"/>
        </w:rPr>
        <w:t>, có hướng dẫn về việc áp dụng mức lương cơ sở mới theo </w:t>
      </w:r>
      <w:hyperlink r:id="rId8" w:tgtFrame="_blank" w:history="1">
        <w:r w:rsidRPr="00E02849">
          <w:rPr>
            <w:rStyle w:val="Hyperlink"/>
            <w:bCs/>
            <w:color w:val="auto"/>
            <w:sz w:val="27"/>
            <w:szCs w:val="27"/>
            <w:u w:val="none"/>
          </w:rPr>
          <w:t>Nghị định 24/2023/NĐ-CP</w:t>
        </w:r>
      </w:hyperlink>
      <w:r w:rsidRPr="00E02849">
        <w:rPr>
          <w:bCs/>
          <w:sz w:val="27"/>
          <w:szCs w:val="27"/>
        </w:rPr>
        <w:t> như sau:</w:t>
      </w:r>
    </w:p>
    <w:p w14:paraId="40A927E0"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1. Về mức hưởng BHYT 100% theo chi phí khám bệnh, chữa bệnh đối với trường hợp chi phí cho một lần khám bệnh, chữa bệnh thấp hơn 15% mức lương cơ sở hoặc trường hợp người bệnh vào viện hoặc bắt đầu đợt điều trị trước ngày 01/7/2023 nhưng ra viện hoặc kết thúc đợt điều trị từ ngày 01/7/2023:</w:t>
      </w:r>
    </w:p>
    <w:p w14:paraId="346B9218" w14:textId="77777777" w:rsidR="00A406B4" w:rsidRPr="00E02849" w:rsidRDefault="00A406B4" w:rsidP="00D8144B">
      <w:pPr>
        <w:pStyle w:val="NormalWeb"/>
        <w:shd w:val="clear" w:color="auto" w:fill="FFFFFF"/>
        <w:spacing w:before="0" w:beforeAutospacing="0" w:after="0" w:afterAutospacing="0"/>
        <w:jc w:val="both"/>
        <w:rPr>
          <w:bCs/>
          <w:sz w:val="27"/>
          <w:szCs w:val="27"/>
        </w:rPr>
      </w:pPr>
      <w:r w:rsidRPr="00E02849">
        <w:rPr>
          <w:bCs/>
          <w:sz w:val="27"/>
          <w:szCs w:val="27"/>
        </w:rPr>
        <w:t>Chi phí cho một lần KCB thấp hơn 15% mức lương cơ sở: tương đương thấp hơn 270.000 đồng (Hai trăm bảy mươi nghìn đồng).</w:t>
      </w:r>
    </w:p>
    <w:p w14:paraId="1DD074C5"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2. Về mức thanh toán trực tiếp theo quy định tại Điều 30 Nghị định 146/2018/NĐ-CP từ 01/7/2023 hoặc trường hợp người bệnh vào viện hoặc bắt đầu đợt điều trị trước ngày 01/7/2023 nhưng ra viện hoặc kết thúc đợt điều trị từ ngày 01/7/2023:</w:t>
      </w:r>
    </w:p>
    <w:p w14:paraId="611C5912"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14:paraId="1791E786" w14:textId="77777777" w:rsidR="00A406B4" w:rsidRPr="00E02849" w:rsidRDefault="00A406B4" w:rsidP="00D8144B">
      <w:pPr>
        <w:pStyle w:val="NormalWeb"/>
        <w:shd w:val="clear" w:color="auto" w:fill="FFFFFF"/>
        <w:spacing w:before="0" w:beforeAutospacing="0" w:after="0" w:afterAutospacing="0"/>
        <w:jc w:val="both"/>
        <w:rPr>
          <w:bCs/>
          <w:sz w:val="27"/>
          <w:szCs w:val="27"/>
        </w:rPr>
      </w:pPr>
      <w:r w:rsidRPr="00E02849">
        <w:rPr>
          <w:bCs/>
          <w:sz w:val="27"/>
          <w:szCs w:val="27"/>
        </w:rPr>
        <w:t>Số tiền tối đa không quá 0,15 lần mức lương cơ sở: tương đương tối đa không quá 270.000 đồng (Hai trăm bảy mươi nghìn đồng).</w:t>
      </w:r>
    </w:p>
    <w:p w14:paraId="536BCD4E"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 Trường hợp khám bệnh, chữa bệnh nội trú, thanh toán theo chi phí thực tế trong phạm vi được hưởng và mức hưởng bảo hiểm y tế theo quy định nhưng tối đa không quá 0,5 lần mức lương cơ sở tại thời điểm ra viện.</w:t>
      </w:r>
    </w:p>
    <w:p w14:paraId="69B00A11" w14:textId="77777777" w:rsidR="00A406B4" w:rsidRPr="00E02849" w:rsidRDefault="00A406B4" w:rsidP="00D8144B">
      <w:pPr>
        <w:pStyle w:val="NormalWeb"/>
        <w:shd w:val="clear" w:color="auto" w:fill="FFFFFF"/>
        <w:spacing w:before="0" w:beforeAutospacing="0" w:after="0" w:afterAutospacing="0"/>
        <w:jc w:val="both"/>
        <w:rPr>
          <w:bCs/>
          <w:sz w:val="27"/>
          <w:szCs w:val="27"/>
        </w:rPr>
      </w:pPr>
      <w:r w:rsidRPr="00E02849">
        <w:rPr>
          <w:bCs/>
          <w:sz w:val="27"/>
          <w:szCs w:val="27"/>
        </w:rPr>
        <w:t>Số tiền tối đa không quá 0,5 lần mức lương cơ sở: tương đương tối đa không quá 900.000 đồng (Chín trăm nghìn đồng).</w:t>
      </w:r>
    </w:p>
    <w:p w14:paraId="217F1B20"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 Trường hợp người bệnh đến khám bệnh, chữa bệnh nội trú tại cơ sở khám bệnh, chữa bệnh tuyến tỉnh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1,0 lần mức lương cơ sở tại thời điểm ra viện.</w:t>
      </w:r>
    </w:p>
    <w:p w14:paraId="24405226" w14:textId="77777777" w:rsidR="00A406B4" w:rsidRPr="00E02849" w:rsidRDefault="00A406B4" w:rsidP="00D8144B">
      <w:pPr>
        <w:pStyle w:val="NormalWeb"/>
        <w:shd w:val="clear" w:color="auto" w:fill="FFFFFF"/>
        <w:spacing w:before="0" w:beforeAutospacing="0" w:after="0" w:afterAutospacing="0"/>
        <w:jc w:val="both"/>
        <w:rPr>
          <w:bCs/>
          <w:sz w:val="27"/>
          <w:szCs w:val="27"/>
        </w:rPr>
      </w:pPr>
      <w:r w:rsidRPr="00E02849">
        <w:rPr>
          <w:bCs/>
          <w:sz w:val="27"/>
          <w:szCs w:val="27"/>
        </w:rPr>
        <w:t>Số tiền tối đa không quá 1,0 lần mức lương cơ sở: tương đương tối đa không quá 1.800.000 đồng (Một triệu tám trăm nghìn đồng).</w:t>
      </w:r>
    </w:p>
    <w:p w14:paraId="529C4622"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 Trường hợp người bệnh đến khám bệnh, chữa bệnh nội trú tại cơ sở khám bệnh, chữa bệnh tuyến trung ương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2,5 lần mức lương cơ sở tại thời điểm ra viện.</w:t>
      </w:r>
    </w:p>
    <w:p w14:paraId="4F652925" w14:textId="77777777" w:rsidR="003A1493" w:rsidRPr="00E02849" w:rsidRDefault="00A406B4" w:rsidP="003A1493">
      <w:pPr>
        <w:pStyle w:val="NormalWeb"/>
        <w:shd w:val="clear" w:color="auto" w:fill="FFFFFF"/>
        <w:spacing w:before="0" w:beforeAutospacing="0" w:after="0" w:afterAutospacing="0"/>
        <w:ind w:firstLine="720"/>
        <w:jc w:val="both"/>
        <w:rPr>
          <w:bCs/>
          <w:sz w:val="27"/>
          <w:szCs w:val="27"/>
        </w:rPr>
      </w:pPr>
      <w:r w:rsidRPr="00E02849">
        <w:rPr>
          <w:bCs/>
          <w:sz w:val="27"/>
          <w:szCs w:val="27"/>
        </w:rPr>
        <w:t>Số tiền tối đa không quá 2,5 lần mức lương cơ sở: tương đương tối đa không quá 4.500.000 đồng (Bốn triệu năm trăm nghìn đồng).</w:t>
      </w:r>
    </w:p>
    <w:p w14:paraId="11F9FD0F" w14:textId="7DEB8548" w:rsidR="00A406B4" w:rsidRPr="00E02849" w:rsidRDefault="00A406B4" w:rsidP="003A1493">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3. Mức thanh toán tổng chi phí vật tư y tế cho một lần sử dụng dịch vụ kỹ thuật không vượt quá 45 tháng lương cơ sở theo quy định tại điểm b khoản 2 Điều 3 </w:t>
      </w:r>
      <w:hyperlink r:id="rId9" w:tgtFrame="_blank" w:history="1">
        <w:r w:rsidRPr="00E02849">
          <w:rPr>
            <w:rStyle w:val="Hyperlink"/>
            <w:bCs/>
            <w:color w:val="auto"/>
            <w:sz w:val="27"/>
            <w:szCs w:val="27"/>
            <w:u w:val="none"/>
          </w:rPr>
          <w:t>Thông tư 04/2017/TT-BYT</w:t>
        </w:r>
      </w:hyperlink>
      <w:r w:rsidRPr="00E02849">
        <w:rPr>
          <w:rStyle w:val="Emphasis"/>
          <w:bCs/>
          <w:i w:val="0"/>
          <w:iCs w:val="0"/>
          <w:sz w:val="27"/>
          <w:szCs w:val="27"/>
        </w:rPr>
        <w:t>:</w:t>
      </w:r>
    </w:p>
    <w:p w14:paraId="3E6DF5DA"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bCs/>
          <w:sz w:val="27"/>
          <w:szCs w:val="27"/>
        </w:rPr>
        <w:lastRenderedPageBreak/>
        <w:t>- Trường hợp người bệnh vào viện từ ngày 01/7/2023: tương đương không vượt quá 81.000.000 đồng (Tám mươi mốt triệu đồng).</w:t>
      </w:r>
    </w:p>
    <w:p w14:paraId="1B7D7806"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bCs/>
          <w:sz w:val="27"/>
          <w:szCs w:val="27"/>
        </w:rPr>
        <w:t>- Trường hợp người bệnh vào viện hoặc bắt đầu đợt điều trị trước ngày 01/7/2023 nhưng ra viện hoặc kết thúc đợt điều trị từ ngày 01/7/2023: Mức thanh toán tổng chi phí vật tư y tế cho một lần sử dụng dịch vụ kỹ thuật được xác định theo thời điểm kết thúc dịch vụ kỹ thuật, cụ thể:</w:t>
      </w:r>
    </w:p>
    <w:p w14:paraId="37725120"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bCs/>
          <w:sz w:val="27"/>
          <w:szCs w:val="27"/>
        </w:rPr>
        <w:t>+ Trước ngày 01/7/2023: Áp dụng mức lương cơ sở quy định tại </w:t>
      </w:r>
      <w:hyperlink r:id="rId10" w:tgtFrame="_blank" w:history="1">
        <w:r w:rsidRPr="00E02849">
          <w:rPr>
            <w:rStyle w:val="Hyperlink"/>
            <w:bCs/>
            <w:color w:val="auto"/>
            <w:sz w:val="27"/>
            <w:szCs w:val="27"/>
            <w:u w:val="none"/>
          </w:rPr>
          <w:t>Nghị định 38/2019/NĐ-CP</w:t>
        </w:r>
      </w:hyperlink>
      <w:r w:rsidRPr="00E02849">
        <w:rPr>
          <w:bCs/>
          <w:sz w:val="27"/>
          <w:szCs w:val="27"/>
        </w:rPr>
        <w:t> tương đương không vượt quá 67.050.000 đồng (Sáu mươi bảy triệu không trăm năm mươi nghìn đồng).</w:t>
      </w:r>
    </w:p>
    <w:p w14:paraId="379F1563"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bCs/>
          <w:sz w:val="27"/>
          <w:szCs w:val="27"/>
        </w:rPr>
        <w:t>+ Từ ngày 01/7/2023: Áp dụng mức lương cơ sở quy định tại </w:t>
      </w:r>
      <w:hyperlink r:id="rId11" w:tgtFrame="_blank" w:history="1">
        <w:r w:rsidRPr="00E02849">
          <w:rPr>
            <w:rStyle w:val="Hyperlink"/>
            <w:bCs/>
            <w:color w:val="auto"/>
            <w:sz w:val="27"/>
            <w:szCs w:val="27"/>
            <w:u w:val="none"/>
          </w:rPr>
          <w:t>Nghị định 24/2023/NĐ-CP</w:t>
        </w:r>
      </w:hyperlink>
      <w:r w:rsidRPr="00E02849">
        <w:rPr>
          <w:bCs/>
          <w:sz w:val="27"/>
          <w:szCs w:val="27"/>
        </w:rPr>
        <w:t> tương đương không vượt quá 81.000.000 đồng (Tám mươi mốt triệu đồng).</w:t>
      </w:r>
    </w:p>
    <w:p w14:paraId="6D044BDB" w14:textId="77777777"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rStyle w:val="Emphasis"/>
          <w:bCs/>
          <w:i w:val="0"/>
          <w:iCs w:val="0"/>
          <w:sz w:val="27"/>
          <w:szCs w:val="27"/>
        </w:rPr>
        <w:t>4. Từ 01/7/2023 và trường hợp người bệnh vào viện hoặc bắt đầu đợt điều trị trước ngày 01/7/2023 nhưng ra viện hoặc kết thúc đợt điều trị từ ngày 01/7/2023</w:t>
      </w:r>
    </w:p>
    <w:p w14:paraId="58DF090B" w14:textId="76E8525F" w:rsidR="00A406B4" w:rsidRPr="00E02849" w:rsidRDefault="00A406B4" w:rsidP="00D8144B">
      <w:pPr>
        <w:pStyle w:val="NormalWeb"/>
        <w:shd w:val="clear" w:color="auto" w:fill="FFFFFF"/>
        <w:spacing w:before="0" w:beforeAutospacing="0" w:after="0" w:afterAutospacing="0"/>
        <w:ind w:firstLine="720"/>
        <w:jc w:val="both"/>
        <w:rPr>
          <w:bCs/>
          <w:sz w:val="27"/>
          <w:szCs w:val="27"/>
        </w:rPr>
      </w:pPr>
      <w:r w:rsidRPr="00E02849">
        <w:rPr>
          <w:bCs/>
          <w:sz w:val="27"/>
          <w:szCs w:val="27"/>
        </w:rPr>
        <w:t>Thì số tiền cùng chi trả chi phí KCB BHYT trong năm lớn hơn 06 tháng lương cơ sở để xác định quyền lợi không cùng chi trả theo quy định tại điểm đ khoản 1 Điều 14 </w:t>
      </w:r>
      <w:hyperlink r:id="rId12" w:tgtFrame="_blank" w:history="1">
        <w:r w:rsidRPr="00E02849">
          <w:rPr>
            <w:rStyle w:val="Hyperlink"/>
            <w:bCs/>
            <w:color w:val="auto"/>
            <w:sz w:val="27"/>
            <w:szCs w:val="27"/>
            <w:u w:val="none"/>
          </w:rPr>
          <w:t>Nghị định 146/2018/NĐ-CP</w:t>
        </w:r>
      </w:hyperlink>
      <w:r w:rsidRPr="00E02849">
        <w:rPr>
          <w:bCs/>
          <w:sz w:val="27"/>
          <w:szCs w:val="27"/>
        </w:rPr>
        <w:t> lớn hơn số tiền được xác định như sau:</w:t>
      </w:r>
    </w:p>
    <w:p w14:paraId="49ACEFDC" w14:textId="77777777" w:rsidR="003A1493" w:rsidRPr="00E02849" w:rsidRDefault="003A1493" w:rsidP="00D8144B">
      <w:pPr>
        <w:pStyle w:val="NormalWeb"/>
        <w:shd w:val="clear" w:color="auto" w:fill="FFFFFF"/>
        <w:spacing w:before="0" w:beforeAutospacing="0" w:after="0" w:afterAutospacing="0"/>
        <w:ind w:firstLine="720"/>
        <w:jc w:val="both"/>
        <w:rPr>
          <w:bCs/>
          <w:sz w:val="27"/>
          <w:szCs w:val="27"/>
        </w:rPr>
      </w:pPr>
    </w:p>
    <w:p w14:paraId="7F6AC7D4" w14:textId="620CA2D7" w:rsidR="00A406B4" w:rsidRPr="00E02849" w:rsidRDefault="00A406B4" w:rsidP="00D8144B">
      <w:pPr>
        <w:pStyle w:val="NormalWeb"/>
        <w:shd w:val="clear" w:color="auto" w:fill="FFFFFF"/>
        <w:spacing w:before="0" w:beforeAutospacing="0" w:after="0" w:afterAutospacing="0"/>
        <w:jc w:val="both"/>
        <w:rPr>
          <w:bCs/>
          <w:sz w:val="27"/>
          <w:szCs w:val="27"/>
        </w:rPr>
      </w:pPr>
      <w:r w:rsidRPr="00E02849">
        <w:rPr>
          <w:bCs/>
          <w:noProof/>
          <w:sz w:val="27"/>
          <w:szCs w:val="27"/>
        </w:rPr>
        <w:drawing>
          <wp:inline distT="0" distB="0" distL="0" distR="0" wp14:anchorId="19243267" wp14:editId="4316F047">
            <wp:extent cx="5760720" cy="931545"/>
            <wp:effectExtent l="0" t="0" r="0" b="1905"/>
            <wp:docPr id="886759101" name="Picture 1" descr="https://cdn.thuvienphapluat.vn/phap-luat/2022-2/NHPT/BHX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phap-luat/2022-2/NHPT/BHX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931545"/>
                    </a:xfrm>
                    <a:prstGeom prst="rect">
                      <a:avLst/>
                    </a:prstGeom>
                    <a:noFill/>
                    <a:ln>
                      <a:noFill/>
                    </a:ln>
                  </pic:spPr>
                </pic:pic>
              </a:graphicData>
            </a:graphic>
          </wp:inline>
        </w:drawing>
      </w:r>
    </w:p>
    <w:p w14:paraId="607062E9" w14:textId="2B9BF880" w:rsidR="00192706" w:rsidRPr="00E02849" w:rsidRDefault="00192706" w:rsidP="00D8144B">
      <w:pPr>
        <w:ind w:firstLine="720"/>
        <w:textAlignment w:val="baseline"/>
        <w:outlineLvl w:val="0"/>
        <w:rPr>
          <w:rFonts w:eastAsia="Times New Roman" w:cs="Times New Roman"/>
          <w:b/>
          <w:sz w:val="27"/>
          <w:szCs w:val="27"/>
        </w:rPr>
      </w:pPr>
      <w:r w:rsidRPr="00E02849">
        <w:rPr>
          <w:rFonts w:eastAsia="Times New Roman" w:cs="Times New Roman"/>
          <w:b/>
          <w:sz w:val="27"/>
          <w:szCs w:val="27"/>
        </w:rPr>
        <w:t xml:space="preserve">Câu </w:t>
      </w:r>
      <w:r w:rsidR="003F2ED5" w:rsidRPr="00E02849">
        <w:rPr>
          <w:rFonts w:eastAsia="Times New Roman" w:cs="Times New Roman"/>
          <w:b/>
          <w:sz w:val="27"/>
          <w:szCs w:val="27"/>
        </w:rPr>
        <w:t>4</w:t>
      </w:r>
      <w:r w:rsidRPr="00E02849">
        <w:rPr>
          <w:rFonts w:eastAsia="Times New Roman" w:cs="Times New Roman"/>
          <w:b/>
          <w:sz w:val="27"/>
          <w:szCs w:val="27"/>
        </w:rPr>
        <w:t>.</w:t>
      </w:r>
    </w:p>
    <w:p w14:paraId="29565AC3" w14:textId="38BB0DC5" w:rsidR="00B915FF" w:rsidRPr="00E02849" w:rsidRDefault="00B915FF" w:rsidP="00D8144B">
      <w:pPr>
        <w:ind w:firstLine="720"/>
        <w:rPr>
          <w:rFonts w:cs="Times New Roman"/>
          <w:bCs/>
          <w:sz w:val="27"/>
          <w:szCs w:val="27"/>
        </w:rPr>
      </w:pPr>
      <w:r w:rsidRPr="00E02849">
        <w:rPr>
          <w:rFonts w:cs="Times New Roman"/>
          <w:bCs/>
          <w:sz w:val="27"/>
          <w:szCs w:val="27"/>
        </w:rPr>
        <w:t xml:space="preserve">Đội </w:t>
      </w:r>
      <w:r w:rsidR="001D2632" w:rsidRPr="00E02849">
        <w:rPr>
          <w:rFonts w:cs="Times New Roman"/>
          <w:bCs/>
          <w:sz w:val="27"/>
          <w:szCs w:val="27"/>
        </w:rPr>
        <w:t xml:space="preserve">ngũ </w:t>
      </w:r>
      <w:r w:rsidRPr="00E02849">
        <w:rPr>
          <w:rFonts w:cs="Times New Roman"/>
          <w:bCs/>
          <w:sz w:val="27"/>
          <w:szCs w:val="27"/>
        </w:rPr>
        <w:t>ATVSV</w:t>
      </w:r>
      <w:r w:rsidR="001D2632" w:rsidRPr="00E02849">
        <w:rPr>
          <w:rFonts w:cs="Times New Roman"/>
          <w:bCs/>
          <w:sz w:val="27"/>
          <w:szCs w:val="27"/>
        </w:rPr>
        <w:t xml:space="preserve"> có</w:t>
      </w:r>
      <w:r w:rsidRPr="00E02849">
        <w:rPr>
          <w:rFonts w:cs="Times New Roman"/>
          <w:bCs/>
          <w:sz w:val="27"/>
          <w:szCs w:val="27"/>
        </w:rPr>
        <w:t xml:space="preserve"> được hưởng phụ cấp hàng tháng</w:t>
      </w:r>
      <w:r w:rsidR="003F2ED5" w:rsidRPr="00E02849">
        <w:rPr>
          <w:rFonts w:cs="Times New Roman"/>
          <w:bCs/>
          <w:sz w:val="27"/>
          <w:szCs w:val="27"/>
        </w:rPr>
        <w:t xml:space="preserve"> không?</w:t>
      </w:r>
      <w:r w:rsidRPr="00E02849">
        <w:rPr>
          <w:rFonts w:cs="Times New Roman"/>
          <w:bCs/>
          <w:sz w:val="27"/>
          <w:szCs w:val="27"/>
        </w:rPr>
        <w:t xml:space="preserve"> Vậy</w:t>
      </w:r>
      <w:r w:rsidR="00927C07" w:rsidRPr="00E02849">
        <w:rPr>
          <w:rFonts w:cs="Times New Roman"/>
          <w:bCs/>
          <w:sz w:val="27"/>
          <w:szCs w:val="27"/>
        </w:rPr>
        <w:t>,</w:t>
      </w:r>
      <w:r w:rsidRPr="00E02849">
        <w:rPr>
          <w:rFonts w:cs="Times New Roman"/>
          <w:bCs/>
          <w:sz w:val="27"/>
          <w:szCs w:val="27"/>
        </w:rPr>
        <w:t xml:space="preserve"> </w:t>
      </w:r>
      <w:r w:rsidR="003F2ED5" w:rsidRPr="00E02849">
        <w:rPr>
          <w:rFonts w:cs="Times New Roman"/>
          <w:bCs/>
          <w:sz w:val="27"/>
          <w:szCs w:val="27"/>
        </w:rPr>
        <w:t>C</w:t>
      </w:r>
      <w:r w:rsidRPr="00E02849">
        <w:rPr>
          <w:rFonts w:cs="Times New Roman"/>
          <w:bCs/>
          <w:sz w:val="27"/>
          <w:szCs w:val="27"/>
        </w:rPr>
        <w:t>ông ty</w:t>
      </w:r>
      <w:r w:rsidR="00927C07" w:rsidRPr="00E02849">
        <w:rPr>
          <w:rFonts w:cs="Times New Roman"/>
          <w:bCs/>
          <w:sz w:val="27"/>
          <w:szCs w:val="27"/>
        </w:rPr>
        <w:t>/doanh nghiệp</w:t>
      </w:r>
      <w:r w:rsidRPr="00E02849">
        <w:rPr>
          <w:rFonts w:cs="Times New Roman"/>
          <w:bCs/>
          <w:sz w:val="27"/>
          <w:szCs w:val="27"/>
        </w:rPr>
        <w:t xml:space="preserve"> hay </w:t>
      </w:r>
      <w:r w:rsidR="003F2ED5" w:rsidRPr="00E02849">
        <w:rPr>
          <w:rFonts w:cs="Times New Roman"/>
          <w:bCs/>
          <w:sz w:val="27"/>
          <w:szCs w:val="27"/>
        </w:rPr>
        <w:t>C</w:t>
      </w:r>
      <w:r w:rsidRPr="00E02849">
        <w:rPr>
          <w:rFonts w:cs="Times New Roman"/>
          <w:bCs/>
          <w:sz w:val="27"/>
          <w:szCs w:val="27"/>
        </w:rPr>
        <w:t xml:space="preserve">ông đoàn </w:t>
      </w:r>
      <w:r w:rsidR="00927C07" w:rsidRPr="00E02849">
        <w:rPr>
          <w:rFonts w:cs="Times New Roman"/>
          <w:bCs/>
          <w:sz w:val="27"/>
          <w:szCs w:val="27"/>
        </w:rPr>
        <w:t xml:space="preserve">chi </w:t>
      </w:r>
      <w:r w:rsidRPr="00E02849">
        <w:rPr>
          <w:rFonts w:cs="Times New Roman"/>
          <w:bCs/>
          <w:sz w:val="27"/>
          <w:szCs w:val="27"/>
        </w:rPr>
        <w:t>trả phụ cấp cho ATVSV</w:t>
      </w:r>
      <w:r w:rsidR="003F2ED5" w:rsidRPr="00E02849">
        <w:rPr>
          <w:rFonts w:cs="Times New Roman"/>
          <w:bCs/>
          <w:sz w:val="27"/>
          <w:szCs w:val="27"/>
        </w:rPr>
        <w:t xml:space="preserve"> </w:t>
      </w:r>
      <w:r w:rsidRPr="00E02849">
        <w:rPr>
          <w:rFonts w:cs="Times New Roman"/>
          <w:bCs/>
          <w:sz w:val="27"/>
          <w:szCs w:val="27"/>
        </w:rPr>
        <w:t xml:space="preserve">và mức phụ cấp quy định </w:t>
      </w:r>
      <w:r w:rsidR="003F2ED5" w:rsidRPr="00E02849">
        <w:rPr>
          <w:rFonts w:cs="Times New Roman"/>
          <w:bCs/>
          <w:sz w:val="27"/>
          <w:szCs w:val="27"/>
        </w:rPr>
        <w:t>như thế nào</w:t>
      </w:r>
      <w:r w:rsidRPr="00E02849">
        <w:rPr>
          <w:rFonts w:cs="Times New Roman"/>
          <w:bCs/>
          <w:sz w:val="27"/>
          <w:szCs w:val="27"/>
        </w:rPr>
        <w:t>?</w:t>
      </w:r>
    </w:p>
    <w:p w14:paraId="3113BDFE" w14:textId="77777777" w:rsidR="003F2ED5" w:rsidRPr="00E02849" w:rsidRDefault="003F2ED5" w:rsidP="00D8144B">
      <w:pPr>
        <w:ind w:firstLine="720"/>
        <w:textAlignment w:val="baseline"/>
        <w:rPr>
          <w:rFonts w:eastAsia="Times New Roman" w:cs="Times New Roman"/>
          <w:b/>
          <w:i/>
          <w:iCs/>
          <w:sz w:val="27"/>
          <w:szCs w:val="27"/>
        </w:rPr>
      </w:pPr>
      <w:r w:rsidRPr="00E02849">
        <w:rPr>
          <w:rFonts w:eastAsia="Times New Roman" w:cs="Times New Roman"/>
          <w:b/>
          <w:i/>
          <w:iCs/>
          <w:sz w:val="27"/>
          <w:szCs w:val="27"/>
        </w:rPr>
        <w:t xml:space="preserve">Trả lời: </w:t>
      </w:r>
    </w:p>
    <w:p w14:paraId="1137F175" w14:textId="2AC080BA" w:rsidR="00B915FF" w:rsidRPr="00E02849" w:rsidRDefault="00927C07" w:rsidP="00D8144B">
      <w:pPr>
        <w:ind w:firstLine="720"/>
        <w:rPr>
          <w:rFonts w:cs="Times New Roman"/>
          <w:bCs/>
          <w:sz w:val="27"/>
          <w:szCs w:val="27"/>
        </w:rPr>
      </w:pPr>
      <w:r w:rsidRPr="00E02849">
        <w:rPr>
          <w:rFonts w:cs="Times New Roman"/>
          <w:bCs/>
          <w:sz w:val="27"/>
          <w:szCs w:val="27"/>
        </w:rPr>
        <w:t xml:space="preserve">Đội ngũ </w:t>
      </w:r>
      <w:r w:rsidR="00B915FF" w:rsidRPr="00E02849">
        <w:rPr>
          <w:rFonts w:cs="Times New Roman"/>
          <w:bCs/>
          <w:sz w:val="27"/>
          <w:szCs w:val="27"/>
        </w:rPr>
        <w:t xml:space="preserve">ATVSV </w:t>
      </w:r>
      <w:r w:rsidR="007F259B" w:rsidRPr="00E02849">
        <w:rPr>
          <w:rFonts w:cs="Times New Roman"/>
          <w:bCs/>
          <w:sz w:val="27"/>
          <w:szCs w:val="27"/>
        </w:rPr>
        <w:t>tại các đơn vị,</w:t>
      </w:r>
      <w:r w:rsidRPr="00E02849">
        <w:rPr>
          <w:rFonts w:cs="Times New Roman"/>
          <w:bCs/>
          <w:sz w:val="27"/>
          <w:szCs w:val="27"/>
        </w:rPr>
        <w:t xml:space="preserve"> Công ty/</w:t>
      </w:r>
      <w:r w:rsidR="007F259B" w:rsidRPr="00E02849">
        <w:rPr>
          <w:rFonts w:cs="Times New Roman"/>
          <w:bCs/>
          <w:sz w:val="27"/>
          <w:szCs w:val="27"/>
        </w:rPr>
        <w:t xml:space="preserve">doanh nghiệp </w:t>
      </w:r>
      <w:r w:rsidR="00B915FF" w:rsidRPr="00E02849">
        <w:rPr>
          <w:rFonts w:cs="Times New Roman"/>
          <w:bCs/>
          <w:sz w:val="27"/>
          <w:szCs w:val="27"/>
        </w:rPr>
        <w:t xml:space="preserve">được hưởng phụ cấp hàng tháng và do doanh nghiệp </w:t>
      </w:r>
      <w:r w:rsidRPr="00E02849">
        <w:rPr>
          <w:rFonts w:cs="Times New Roman"/>
          <w:bCs/>
          <w:sz w:val="27"/>
          <w:szCs w:val="27"/>
        </w:rPr>
        <w:t xml:space="preserve">chi </w:t>
      </w:r>
      <w:r w:rsidR="00B915FF" w:rsidRPr="00E02849">
        <w:rPr>
          <w:rFonts w:cs="Times New Roman"/>
          <w:bCs/>
          <w:sz w:val="27"/>
          <w:szCs w:val="27"/>
        </w:rPr>
        <w:t>trả phụ cấp cho ATVSV. Nhà nước không quy định chi tiết về việc này</w:t>
      </w:r>
      <w:r w:rsidRPr="00E02849">
        <w:rPr>
          <w:rFonts w:cs="Times New Roman"/>
          <w:bCs/>
          <w:sz w:val="27"/>
          <w:szCs w:val="27"/>
        </w:rPr>
        <w:t>. Đ</w:t>
      </w:r>
      <w:r w:rsidRPr="00E02849">
        <w:rPr>
          <w:rFonts w:cs="Times New Roman"/>
          <w:bCs/>
          <w:sz w:val="27"/>
          <w:szCs w:val="27"/>
        </w:rPr>
        <w:t xml:space="preserve">ơn vị, Công ty/doanh nghiệp </w:t>
      </w:r>
      <w:r w:rsidR="00B915FF" w:rsidRPr="00E02849">
        <w:rPr>
          <w:rFonts w:cs="Times New Roman"/>
          <w:bCs/>
          <w:sz w:val="27"/>
          <w:szCs w:val="27"/>
        </w:rPr>
        <w:t>phải tự xây dựng chế độ phụ cấp ATVSV riêng</w:t>
      </w:r>
      <w:r w:rsidR="00E02849" w:rsidRPr="00E02849">
        <w:rPr>
          <w:rFonts w:cs="Times New Roman"/>
          <w:bCs/>
          <w:sz w:val="27"/>
          <w:szCs w:val="27"/>
        </w:rPr>
        <w:t xml:space="preserve"> và tổ chức </w:t>
      </w:r>
      <w:r w:rsidR="00B915FF" w:rsidRPr="00E02849">
        <w:rPr>
          <w:rFonts w:cs="Times New Roman"/>
          <w:bCs/>
          <w:sz w:val="27"/>
          <w:szCs w:val="27"/>
        </w:rPr>
        <w:t xml:space="preserve">Công đoàn </w:t>
      </w:r>
      <w:r w:rsidR="00E02849" w:rsidRPr="00E02849">
        <w:rPr>
          <w:rFonts w:cs="Times New Roman"/>
          <w:bCs/>
          <w:sz w:val="27"/>
          <w:szCs w:val="27"/>
        </w:rPr>
        <w:t xml:space="preserve">có trách nhiệm </w:t>
      </w:r>
      <w:r w:rsidR="00B915FF" w:rsidRPr="00E02849">
        <w:rPr>
          <w:rFonts w:cs="Times New Roman"/>
          <w:bCs/>
          <w:sz w:val="27"/>
          <w:szCs w:val="27"/>
        </w:rPr>
        <w:t xml:space="preserve">tham gia và đóng góp ý kiến khi xây dựng </w:t>
      </w:r>
      <w:r w:rsidR="00E02849" w:rsidRPr="00E02849">
        <w:rPr>
          <w:rFonts w:cs="Times New Roman"/>
          <w:bCs/>
          <w:sz w:val="27"/>
          <w:szCs w:val="27"/>
        </w:rPr>
        <w:t xml:space="preserve">quy chế/quy định về </w:t>
      </w:r>
      <w:r w:rsidR="00B915FF" w:rsidRPr="00E02849">
        <w:rPr>
          <w:rFonts w:cs="Times New Roman"/>
          <w:bCs/>
          <w:sz w:val="27"/>
          <w:szCs w:val="27"/>
        </w:rPr>
        <w:t>chế độ phụ cấp cho ATVSV.</w:t>
      </w:r>
    </w:p>
    <w:p w14:paraId="7537C9FC" w14:textId="77777777" w:rsidR="00992099" w:rsidRPr="00E02849" w:rsidRDefault="00992099" w:rsidP="00D8144B">
      <w:pPr>
        <w:ind w:firstLine="720"/>
        <w:textAlignment w:val="baseline"/>
        <w:outlineLvl w:val="0"/>
        <w:rPr>
          <w:rFonts w:eastAsia="Times New Roman" w:cs="Times New Roman"/>
          <w:bCs/>
          <w:sz w:val="27"/>
          <w:szCs w:val="27"/>
        </w:rPr>
      </w:pPr>
    </w:p>
    <w:p w14:paraId="6D05FCB1" w14:textId="7A75E74C" w:rsidR="00192706" w:rsidRPr="00E02849" w:rsidRDefault="00192706" w:rsidP="00D8144B">
      <w:pPr>
        <w:ind w:firstLine="720"/>
        <w:textAlignment w:val="baseline"/>
        <w:outlineLvl w:val="0"/>
        <w:rPr>
          <w:rFonts w:eastAsia="Times New Roman" w:cs="Times New Roman"/>
          <w:b/>
          <w:sz w:val="27"/>
          <w:szCs w:val="27"/>
        </w:rPr>
      </w:pPr>
      <w:r w:rsidRPr="00E02849">
        <w:rPr>
          <w:rFonts w:eastAsia="Times New Roman" w:cs="Times New Roman"/>
          <w:b/>
          <w:sz w:val="27"/>
          <w:szCs w:val="27"/>
        </w:rPr>
        <w:t>Câu</w:t>
      </w:r>
      <w:r w:rsidR="00992099" w:rsidRPr="00E02849">
        <w:rPr>
          <w:rFonts w:eastAsia="Times New Roman" w:cs="Times New Roman"/>
          <w:b/>
          <w:sz w:val="27"/>
          <w:szCs w:val="27"/>
        </w:rPr>
        <w:t xml:space="preserve"> 5.</w:t>
      </w:r>
    </w:p>
    <w:p w14:paraId="19BBF210" w14:textId="48742132" w:rsidR="00192706" w:rsidRPr="00E02849" w:rsidRDefault="008C6FEB" w:rsidP="00D8144B">
      <w:pPr>
        <w:ind w:firstLine="720"/>
        <w:textAlignment w:val="baseline"/>
        <w:outlineLvl w:val="0"/>
        <w:rPr>
          <w:rFonts w:eastAsia="Times New Roman" w:cs="Times New Roman"/>
          <w:sz w:val="27"/>
          <w:szCs w:val="27"/>
        </w:rPr>
      </w:pPr>
      <w:r w:rsidRPr="00E02849">
        <w:rPr>
          <w:rFonts w:eastAsia="Times New Roman" w:cs="Times New Roman"/>
          <w:sz w:val="27"/>
          <w:szCs w:val="27"/>
        </w:rPr>
        <w:t>Tiền lương tháng đóng BHXH bắt buộc, BHTN, BHYT</w:t>
      </w:r>
      <w:r w:rsidRPr="00E02849">
        <w:rPr>
          <w:rFonts w:eastAsia="Times New Roman" w:cs="Times New Roman"/>
          <w:sz w:val="27"/>
          <w:szCs w:val="27"/>
        </w:rPr>
        <w:t xml:space="preserve"> hiện nay được quy định như thế nào?</w:t>
      </w:r>
    </w:p>
    <w:p w14:paraId="5A4208AF" w14:textId="3D9392F6" w:rsidR="00192706" w:rsidRPr="00E02849" w:rsidRDefault="00192706" w:rsidP="00D8144B">
      <w:pPr>
        <w:ind w:firstLine="720"/>
        <w:textAlignment w:val="baseline"/>
        <w:rPr>
          <w:rFonts w:eastAsia="Times New Roman" w:cs="Times New Roman"/>
          <w:b/>
          <w:i/>
          <w:iCs/>
          <w:sz w:val="27"/>
          <w:szCs w:val="27"/>
        </w:rPr>
      </w:pPr>
      <w:r w:rsidRPr="00E02849">
        <w:rPr>
          <w:rFonts w:eastAsia="Times New Roman" w:cs="Times New Roman"/>
          <w:b/>
          <w:i/>
          <w:iCs/>
          <w:sz w:val="27"/>
          <w:szCs w:val="27"/>
        </w:rPr>
        <w:t xml:space="preserve">Trả lời: </w:t>
      </w:r>
    </w:p>
    <w:p w14:paraId="18A50C88" w14:textId="36DF9C6F" w:rsidR="008C6FEB" w:rsidRPr="00E02849" w:rsidRDefault="008C6FEB" w:rsidP="00D8144B">
      <w:pPr>
        <w:shd w:val="clear" w:color="auto" w:fill="FFFFFF"/>
        <w:outlineLvl w:val="1"/>
        <w:rPr>
          <w:rFonts w:eastAsia="Times New Roman" w:cs="Times New Roman"/>
          <w:sz w:val="27"/>
          <w:szCs w:val="27"/>
        </w:rPr>
      </w:pPr>
      <w:r w:rsidRPr="00E02849">
        <w:rPr>
          <w:rFonts w:eastAsia="Times New Roman" w:cs="Times New Roman"/>
          <w:b/>
          <w:bCs/>
          <w:sz w:val="27"/>
          <w:szCs w:val="27"/>
        </w:rPr>
        <w:tab/>
      </w:r>
      <w:r w:rsidRPr="00E02849">
        <w:rPr>
          <w:rFonts w:eastAsia="Times New Roman" w:cs="Times New Roman"/>
          <w:sz w:val="27"/>
          <w:szCs w:val="27"/>
        </w:rPr>
        <w:t>Tiền lương tháng đóng BHXH bắt buộc, BHTN, BHYT</w:t>
      </w:r>
      <w:r w:rsidR="00E66797" w:rsidRPr="00E02849">
        <w:rPr>
          <w:rFonts w:eastAsia="Times New Roman" w:cs="Times New Roman"/>
          <w:sz w:val="27"/>
          <w:szCs w:val="27"/>
        </w:rPr>
        <w:t xml:space="preserve"> hiện nay được quy định như sau:</w:t>
      </w:r>
    </w:p>
    <w:p w14:paraId="0EDE6C17" w14:textId="64A23D3A" w:rsidR="008C6FEB" w:rsidRPr="00E02849" w:rsidRDefault="008C6FEB" w:rsidP="00D8144B">
      <w:pPr>
        <w:shd w:val="clear" w:color="auto" w:fill="FFFFFF"/>
        <w:rPr>
          <w:rFonts w:eastAsia="Times New Roman" w:cs="Times New Roman"/>
          <w:b/>
          <w:bCs/>
          <w:sz w:val="27"/>
          <w:szCs w:val="27"/>
        </w:rPr>
      </w:pPr>
      <w:r w:rsidRPr="00E02849">
        <w:rPr>
          <w:rFonts w:eastAsia="Times New Roman" w:cs="Times New Roman"/>
          <w:i/>
          <w:iCs/>
          <w:sz w:val="27"/>
          <w:szCs w:val="27"/>
        </w:rPr>
        <w:tab/>
      </w:r>
      <w:r w:rsidRPr="00E02849">
        <w:rPr>
          <w:rFonts w:eastAsia="Times New Roman" w:cs="Times New Roman"/>
          <w:b/>
          <w:bCs/>
          <w:i/>
          <w:iCs/>
          <w:sz w:val="27"/>
          <w:szCs w:val="27"/>
        </w:rPr>
        <w:t xml:space="preserve">* Đối với </w:t>
      </w:r>
      <w:r w:rsidRPr="00E02849">
        <w:rPr>
          <w:rFonts w:eastAsia="Times New Roman" w:cs="Times New Roman"/>
          <w:b/>
          <w:bCs/>
          <w:i/>
          <w:iCs/>
          <w:sz w:val="27"/>
          <w:szCs w:val="27"/>
        </w:rPr>
        <w:t xml:space="preserve">NLĐ </w:t>
      </w:r>
      <w:r w:rsidRPr="00E02849">
        <w:rPr>
          <w:rFonts w:eastAsia="Times New Roman" w:cs="Times New Roman"/>
          <w:b/>
          <w:bCs/>
          <w:i/>
          <w:iCs/>
          <w:sz w:val="27"/>
          <w:szCs w:val="27"/>
        </w:rPr>
        <w:t>thực hiện chế độ tiền lương do Nhà nước quy định:</w:t>
      </w:r>
    </w:p>
    <w:p w14:paraId="05E5680E" w14:textId="04FC6E26"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sz w:val="27"/>
          <w:szCs w:val="27"/>
        </w:rPr>
        <w:tab/>
      </w:r>
      <w:r w:rsidRPr="00E02849">
        <w:rPr>
          <w:rFonts w:eastAsia="Times New Roman" w:cs="Times New Roman"/>
          <w:sz w:val="27"/>
          <w:szCs w:val="27"/>
        </w:rPr>
        <w:t>Người lao động thuộc đối tượng thực hiện chế độ tiền lương do Nhà nước quy định thì tiền lương tháng đóng BHXH bắt buộc, BHTN, BHYT là tiền lương theo ngạch, bậc, cấp bậc quân hàm và các khoản phụ cấp chức vụ, phụ cấp thâm niên vượt khung, phụ cấp thâm niên nghề (nếu có).</w:t>
      </w:r>
    </w:p>
    <w:p w14:paraId="4CD58F51" w14:textId="3F13B808"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sz w:val="27"/>
          <w:szCs w:val="27"/>
        </w:rPr>
        <w:tab/>
      </w:r>
      <w:r w:rsidRPr="00E02849">
        <w:rPr>
          <w:rFonts w:eastAsia="Times New Roman" w:cs="Times New Roman"/>
          <w:sz w:val="27"/>
          <w:szCs w:val="27"/>
        </w:rPr>
        <w:t>Riêng đối với người hoạt động không chuyên trách ở xã, phường, thị trấn thì tiền lương tháng đóng BHXH bắt buộc, BHTN, BHYT là mức lương cơ sở.</w:t>
      </w:r>
    </w:p>
    <w:p w14:paraId="37E7F30A" w14:textId="0E5374AE"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b/>
          <w:bCs/>
          <w:i/>
          <w:iCs/>
          <w:sz w:val="27"/>
          <w:szCs w:val="27"/>
        </w:rPr>
        <w:lastRenderedPageBreak/>
        <w:tab/>
      </w:r>
      <w:r w:rsidRPr="00E02849">
        <w:rPr>
          <w:rFonts w:eastAsia="Times New Roman" w:cs="Times New Roman"/>
          <w:b/>
          <w:bCs/>
          <w:i/>
          <w:iCs/>
          <w:sz w:val="27"/>
          <w:szCs w:val="27"/>
        </w:rPr>
        <w:t>* Đối với người lao động thực hiện chế độ tiền lương do người sử dụng lao động quyết định:</w:t>
      </w:r>
    </w:p>
    <w:p w14:paraId="58638D97" w14:textId="12E56265"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sz w:val="27"/>
          <w:szCs w:val="27"/>
        </w:rPr>
        <w:tab/>
      </w:r>
      <w:r w:rsidRPr="00E02849">
        <w:rPr>
          <w:rFonts w:eastAsia="Times New Roman" w:cs="Times New Roman"/>
          <w:sz w:val="27"/>
          <w:szCs w:val="27"/>
        </w:rPr>
        <w:t>Đối với người lao động đóng bảo hiểm xã hội theo chế độ tiền lương do người sử dụng lao động quyết định thì tiền lương tháng đóng BHXH bắt buộc, BHTN, BHYT bao gồm:</w:t>
      </w:r>
    </w:p>
    <w:p w14:paraId="7E3BB437" w14:textId="32AFFAB9" w:rsidR="008C6FEB" w:rsidRPr="00E02849" w:rsidRDefault="008C6FEB" w:rsidP="00D8144B">
      <w:pPr>
        <w:shd w:val="clear" w:color="auto" w:fill="FFFFFF"/>
        <w:rPr>
          <w:rFonts w:eastAsia="Times New Roman" w:cs="Times New Roman"/>
          <w:i/>
          <w:iCs/>
          <w:sz w:val="27"/>
          <w:szCs w:val="27"/>
        </w:rPr>
      </w:pPr>
      <w:r w:rsidRPr="00E02849">
        <w:rPr>
          <w:rFonts w:eastAsia="Times New Roman" w:cs="Times New Roman"/>
          <w:sz w:val="27"/>
          <w:szCs w:val="27"/>
        </w:rPr>
        <w:tab/>
      </w:r>
      <w:r w:rsidRPr="00E02849">
        <w:rPr>
          <w:rFonts w:eastAsia="Times New Roman" w:cs="Times New Roman"/>
          <w:i/>
          <w:iCs/>
          <w:sz w:val="27"/>
          <w:szCs w:val="27"/>
        </w:rPr>
        <w:t>- Mức lương: Mức lương theo công việc hoặc theo chức danh.</w:t>
      </w:r>
    </w:p>
    <w:p w14:paraId="537DA46E" w14:textId="243257F0" w:rsidR="008C6FEB" w:rsidRPr="00E02849" w:rsidRDefault="008C6FEB" w:rsidP="00D8144B">
      <w:pPr>
        <w:shd w:val="clear" w:color="auto" w:fill="FFFFFF"/>
        <w:rPr>
          <w:rFonts w:eastAsia="Times New Roman" w:cs="Times New Roman"/>
          <w:i/>
          <w:iCs/>
          <w:sz w:val="27"/>
          <w:szCs w:val="27"/>
        </w:rPr>
      </w:pPr>
      <w:r w:rsidRPr="00E02849">
        <w:rPr>
          <w:rFonts w:eastAsia="Times New Roman" w:cs="Times New Roman"/>
          <w:i/>
          <w:iCs/>
          <w:sz w:val="27"/>
          <w:szCs w:val="27"/>
        </w:rPr>
        <w:tab/>
      </w:r>
      <w:r w:rsidRPr="00E02849">
        <w:rPr>
          <w:rFonts w:eastAsia="Times New Roman" w:cs="Times New Roman"/>
          <w:i/>
          <w:iCs/>
          <w:sz w:val="27"/>
          <w:szCs w:val="27"/>
        </w:rPr>
        <w:t>- Phụ cấp lương, bao gồm:</w:t>
      </w:r>
    </w:p>
    <w:p w14:paraId="1619F2F2" w14:textId="57360200"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sz w:val="27"/>
          <w:szCs w:val="27"/>
        </w:rPr>
        <w:tab/>
      </w:r>
      <w:r w:rsidRPr="00E02849">
        <w:rPr>
          <w:rFonts w:eastAsia="Times New Roman" w:cs="Times New Roman"/>
          <w:sz w:val="27"/>
          <w:szCs w:val="27"/>
        </w:rPr>
        <w:t xml:space="preserve">+ Các khoản phụ cấp lương để bù đắp yếu tố về điều kiện lao động, tính chất phức tạp công việc, điều kiện sinh hoạt, mức độ thu hút lao động mà mức lương thỏa thuận trong </w:t>
      </w:r>
      <w:r w:rsidRPr="00E02849">
        <w:rPr>
          <w:rFonts w:eastAsia="Times New Roman" w:cs="Times New Roman"/>
          <w:sz w:val="27"/>
          <w:szCs w:val="27"/>
        </w:rPr>
        <w:t xml:space="preserve">HĐLĐ </w:t>
      </w:r>
      <w:r w:rsidRPr="00E02849">
        <w:rPr>
          <w:rFonts w:eastAsia="Times New Roman" w:cs="Times New Roman"/>
          <w:sz w:val="27"/>
          <w:szCs w:val="27"/>
        </w:rPr>
        <w:t>chưa được tính đến hoặc tính chưa đầy đủ;</w:t>
      </w:r>
    </w:p>
    <w:p w14:paraId="7C89DF5D" w14:textId="33D15C6E"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sz w:val="27"/>
          <w:szCs w:val="27"/>
        </w:rPr>
        <w:tab/>
      </w:r>
      <w:r w:rsidRPr="00E02849">
        <w:rPr>
          <w:rFonts w:eastAsia="Times New Roman" w:cs="Times New Roman"/>
          <w:sz w:val="27"/>
          <w:szCs w:val="27"/>
        </w:rPr>
        <w:t>+ Các khoản phụ cấp lương gắn với quá trình làm việc và kết quả thực hiện công việc của người lao động.</w:t>
      </w:r>
    </w:p>
    <w:p w14:paraId="504AEE7E" w14:textId="01D3C15B" w:rsidR="008C6FEB" w:rsidRPr="00E02849" w:rsidRDefault="008C6FEB" w:rsidP="00D8144B">
      <w:pPr>
        <w:shd w:val="clear" w:color="auto" w:fill="FFFFFF"/>
        <w:rPr>
          <w:rFonts w:eastAsia="Times New Roman" w:cs="Times New Roman"/>
          <w:i/>
          <w:iCs/>
          <w:sz w:val="27"/>
          <w:szCs w:val="27"/>
        </w:rPr>
      </w:pPr>
      <w:r w:rsidRPr="00E02849">
        <w:rPr>
          <w:rFonts w:eastAsia="Times New Roman" w:cs="Times New Roman"/>
          <w:sz w:val="27"/>
          <w:szCs w:val="27"/>
        </w:rPr>
        <w:tab/>
      </w:r>
      <w:r w:rsidRPr="00E02849">
        <w:rPr>
          <w:rFonts w:eastAsia="Times New Roman" w:cs="Times New Roman"/>
          <w:i/>
          <w:iCs/>
          <w:sz w:val="27"/>
          <w:szCs w:val="27"/>
        </w:rPr>
        <w:t>- Các khoản bổ sung khác, bao gồm:</w:t>
      </w:r>
    </w:p>
    <w:p w14:paraId="65AC2D6A" w14:textId="33AD67EC"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sz w:val="27"/>
          <w:szCs w:val="27"/>
        </w:rPr>
        <w:tab/>
      </w:r>
      <w:r w:rsidRPr="00E02849">
        <w:rPr>
          <w:rFonts w:eastAsia="Times New Roman" w:cs="Times New Roman"/>
          <w:sz w:val="27"/>
          <w:szCs w:val="27"/>
        </w:rPr>
        <w:t>+ Các khoản bổ sung xác định được mức tiền cụ thể cùng với mức lương thỏa thuận trong hợp đồng lao động và trả thường xuyên trong mỗi kỳ trả lương;</w:t>
      </w:r>
    </w:p>
    <w:p w14:paraId="19572CF4" w14:textId="1E78947E" w:rsidR="008C6FEB" w:rsidRPr="00E02849" w:rsidRDefault="008C6FEB" w:rsidP="00D8144B">
      <w:pPr>
        <w:shd w:val="clear" w:color="auto" w:fill="FFFFFF"/>
        <w:rPr>
          <w:rFonts w:eastAsia="Times New Roman" w:cs="Times New Roman"/>
          <w:sz w:val="27"/>
          <w:szCs w:val="27"/>
        </w:rPr>
      </w:pPr>
      <w:r w:rsidRPr="00E02849">
        <w:rPr>
          <w:rFonts w:eastAsia="Times New Roman" w:cs="Times New Roman"/>
          <w:sz w:val="27"/>
          <w:szCs w:val="27"/>
        </w:rPr>
        <w:tab/>
      </w:r>
      <w:r w:rsidRPr="00E02849">
        <w:rPr>
          <w:rFonts w:eastAsia="Times New Roman" w:cs="Times New Roman"/>
          <w:sz w:val="27"/>
          <w:szCs w:val="27"/>
        </w:rPr>
        <w:t>+ Các khoản bổ sung không xác định được mức tiền cụ thể cùng với mức lương thỏa thuận trong hợp đồng lao động, trả thường xuyên hoặc không thường xuyên trong mỗi kỳ trả lương gắn với quá trình làm việc, kết quả thực hiện công việc của người lao động.</w:t>
      </w:r>
    </w:p>
    <w:p w14:paraId="6179CC72" w14:textId="77777777" w:rsidR="008C6FEB" w:rsidRPr="00E02849" w:rsidRDefault="008C6FEB" w:rsidP="00D8144B">
      <w:pPr>
        <w:ind w:firstLine="720"/>
        <w:textAlignment w:val="baseline"/>
        <w:rPr>
          <w:rFonts w:eastAsia="Times New Roman" w:cs="Times New Roman"/>
          <w:b/>
          <w:i/>
          <w:iCs/>
          <w:sz w:val="27"/>
          <w:szCs w:val="27"/>
        </w:rPr>
      </w:pPr>
    </w:p>
    <w:sectPr w:rsidR="008C6FEB" w:rsidRPr="00E02849" w:rsidSect="00D82567">
      <w:footerReference w:type="default" r:id="rId14"/>
      <w:pgSz w:w="11907" w:h="16839" w:code="9"/>
      <w:pgMar w:top="1134" w:right="1134" w:bottom="1134" w:left="1701"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E029" w14:textId="77777777" w:rsidR="00CB55A2" w:rsidRDefault="00CB55A2" w:rsidP="0026414F">
      <w:r>
        <w:separator/>
      </w:r>
    </w:p>
  </w:endnote>
  <w:endnote w:type="continuationSeparator" w:id="0">
    <w:p w14:paraId="082D3DC8" w14:textId="77777777" w:rsidR="00CB55A2" w:rsidRDefault="00CB55A2" w:rsidP="0026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9555" w14:textId="77777777" w:rsidR="003D6E4F" w:rsidRPr="00131B78" w:rsidRDefault="003D6E4F">
    <w:pPr>
      <w:pStyle w:val="Footer"/>
      <w:tabs>
        <w:tab w:val="clear" w:pos="4680"/>
        <w:tab w:val="clear" w:pos="9360"/>
      </w:tabs>
      <w:jc w:val="center"/>
      <w:rPr>
        <w:caps/>
        <w:noProof/>
        <w:color w:val="4F81BD" w:themeColor="accent1"/>
        <w:sz w:val="20"/>
        <w:szCs w:val="20"/>
      </w:rPr>
    </w:pPr>
    <w:r w:rsidRPr="00131B78">
      <w:rPr>
        <w:caps/>
        <w:color w:val="4F81BD" w:themeColor="accent1"/>
        <w:sz w:val="20"/>
        <w:szCs w:val="20"/>
      </w:rPr>
      <w:fldChar w:fldCharType="begin"/>
    </w:r>
    <w:r w:rsidRPr="00131B78">
      <w:rPr>
        <w:caps/>
        <w:color w:val="4F81BD" w:themeColor="accent1"/>
        <w:sz w:val="20"/>
        <w:szCs w:val="20"/>
      </w:rPr>
      <w:instrText xml:space="preserve"> PAGE   \* MERGEFORMAT </w:instrText>
    </w:r>
    <w:r w:rsidRPr="00131B78">
      <w:rPr>
        <w:caps/>
        <w:color w:val="4F81BD" w:themeColor="accent1"/>
        <w:sz w:val="20"/>
        <w:szCs w:val="20"/>
      </w:rPr>
      <w:fldChar w:fldCharType="separate"/>
    </w:r>
    <w:r w:rsidR="00802E72">
      <w:rPr>
        <w:caps/>
        <w:noProof/>
        <w:color w:val="4F81BD" w:themeColor="accent1"/>
        <w:sz w:val="20"/>
        <w:szCs w:val="20"/>
      </w:rPr>
      <w:t>8</w:t>
    </w:r>
    <w:r w:rsidRPr="00131B78">
      <w:rPr>
        <w:caps/>
        <w:noProof/>
        <w:color w:val="4F81BD" w:themeColor="accent1"/>
        <w:sz w:val="20"/>
        <w:szCs w:val="20"/>
      </w:rPr>
      <w:fldChar w:fldCharType="end"/>
    </w:r>
  </w:p>
  <w:p w14:paraId="16DDB699" w14:textId="77777777" w:rsidR="003D6E4F" w:rsidRDefault="003D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BC1" w14:textId="77777777" w:rsidR="00CB55A2" w:rsidRDefault="00CB55A2" w:rsidP="0026414F">
      <w:r>
        <w:separator/>
      </w:r>
    </w:p>
  </w:footnote>
  <w:footnote w:type="continuationSeparator" w:id="0">
    <w:p w14:paraId="709C5DB4" w14:textId="77777777" w:rsidR="00CB55A2" w:rsidRDefault="00CB55A2" w:rsidP="0026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FB"/>
    <w:multiLevelType w:val="hybridMultilevel"/>
    <w:tmpl w:val="F4667E58"/>
    <w:lvl w:ilvl="0" w:tplc="2328FFEE">
      <w:start w:val="6"/>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3E6615D5"/>
    <w:multiLevelType w:val="hybridMultilevel"/>
    <w:tmpl w:val="0ED08856"/>
    <w:lvl w:ilvl="0" w:tplc="3A124622">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4B96006B"/>
    <w:multiLevelType w:val="hybridMultilevel"/>
    <w:tmpl w:val="928694A8"/>
    <w:lvl w:ilvl="0" w:tplc="CFF0C164">
      <w:start w:val="4"/>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56FD662C"/>
    <w:multiLevelType w:val="hybridMultilevel"/>
    <w:tmpl w:val="34A2AF0A"/>
    <w:lvl w:ilvl="0" w:tplc="C0F404A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062CA9"/>
    <w:multiLevelType w:val="hybridMultilevel"/>
    <w:tmpl w:val="6D2E1102"/>
    <w:lvl w:ilvl="0" w:tplc="5D7269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3335E5"/>
    <w:multiLevelType w:val="hybridMultilevel"/>
    <w:tmpl w:val="0F221226"/>
    <w:lvl w:ilvl="0" w:tplc="5DF86812">
      <w:start w:val="3"/>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7E1C3DC0"/>
    <w:multiLevelType w:val="hybridMultilevel"/>
    <w:tmpl w:val="5A6C54EC"/>
    <w:lvl w:ilvl="0" w:tplc="F2B6F6C4">
      <w:start w:val="5"/>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7FE13AA3"/>
    <w:multiLevelType w:val="hybridMultilevel"/>
    <w:tmpl w:val="4A0AB10C"/>
    <w:lvl w:ilvl="0" w:tplc="21FC32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36"/>
    <w:rsid w:val="000101B5"/>
    <w:rsid w:val="00011032"/>
    <w:rsid w:val="00020A13"/>
    <w:rsid w:val="00024210"/>
    <w:rsid w:val="000260D3"/>
    <w:rsid w:val="0003336A"/>
    <w:rsid w:val="00041873"/>
    <w:rsid w:val="000433D9"/>
    <w:rsid w:val="000452B8"/>
    <w:rsid w:val="000458D9"/>
    <w:rsid w:val="0005190B"/>
    <w:rsid w:val="00057744"/>
    <w:rsid w:val="00057CC9"/>
    <w:rsid w:val="0006529C"/>
    <w:rsid w:val="00067134"/>
    <w:rsid w:val="00080AEB"/>
    <w:rsid w:val="0008632F"/>
    <w:rsid w:val="00087155"/>
    <w:rsid w:val="0009182D"/>
    <w:rsid w:val="0009360F"/>
    <w:rsid w:val="000978AC"/>
    <w:rsid w:val="000A4AA5"/>
    <w:rsid w:val="000B3357"/>
    <w:rsid w:val="000B4328"/>
    <w:rsid w:val="000B5D93"/>
    <w:rsid w:val="000C3FEE"/>
    <w:rsid w:val="000C5823"/>
    <w:rsid w:val="000C5A4B"/>
    <w:rsid w:val="000D54FD"/>
    <w:rsid w:val="000E02E9"/>
    <w:rsid w:val="000E045C"/>
    <w:rsid w:val="000E2E5B"/>
    <w:rsid w:val="000E40D2"/>
    <w:rsid w:val="000E42C6"/>
    <w:rsid w:val="000F71D2"/>
    <w:rsid w:val="00103B20"/>
    <w:rsid w:val="0010594E"/>
    <w:rsid w:val="001123B8"/>
    <w:rsid w:val="00114A15"/>
    <w:rsid w:val="00117138"/>
    <w:rsid w:val="00117E4A"/>
    <w:rsid w:val="00123ECC"/>
    <w:rsid w:val="00125A27"/>
    <w:rsid w:val="00131B78"/>
    <w:rsid w:val="001330CA"/>
    <w:rsid w:val="0013445D"/>
    <w:rsid w:val="0014222A"/>
    <w:rsid w:val="00150C81"/>
    <w:rsid w:val="001547D8"/>
    <w:rsid w:val="0015680C"/>
    <w:rsid w:val="0015692E"/>
    <w:rsid w:val="00162286"/>
    <w:rsid w:val="00165EF7"/>
    <w:rsid w:val="00171A99"/>
    <w:rsid w:val="00172274"/>
    <w:rsid w:val="0017229A"/>
    <w:rsid w:val="0017751B"/>
    <w:rsid w:val="001823E8"/>
    <w:rsid w:val="00182FD4"/>
    <w:rsid w:val="00187317"/>
    <w:rsid w:val="00187734"/>
    <w:rsid w:val="00192706"/>
    <w:rsid w:val="001958A1"/>
    <w:rsid w:val="0019740D"/>
    <w:rsid w:val="001B0134"/>
    <w:rsid w:val="001B34BA"/>
    <w:rsid w:val="001B49B2"/>
    <w:rsid w:val="001D2632"/>
    <w:rsid w:val="001D36D7"/>
    <w:rsid w:val="001D7BF6"/>
    <w:rsid w:val="001E17B3"/>
    <w:rsid w:val="001E187D"/>
    <w:rsid w:val="001E6449"/>
    <w:rsid w:val="001F4689"/>
    <w:rsid w:val="002009F8"/>
    <w:rsid w:val="00200A45"/>
    <w:rsid w:val="00210464"/>
    <w:rsid w:val="00216314"/>
    <w:rsid w:val="00216467"/>
    <w:rsid w:val="002173EC"/>
    <w:rsid w:val="0022167C"/>
    <w:rsid w:val="0022626E"/>
    <w:rsid w:val="0023175D"/>
    <w:rsid w:val="00231CE1"/>
    <w:rsid w:val="00242080"/>
    <w:rsid w:val="00245D13"/>
    <w:rsid w:val="00247BC3"/>
    <w:rsid w:val="0025173F"/>
    <w:rsid w:val="00252152"/>
    <w:rsid w:val="00252BA4"/>
    <w:rsid w:val="002544AF"/>
    <w:rsid w:val="00255B06"/>
    <w:rsid w:val="00256BCE"/>
    <w:rsid w:val="002612B7"/>
    <w:rsid w:val="0026414F"/>
    <w:rsid w:val="00266527"/>
    <w:rsid w:val="00266A7F"/>
    <w:rsid w:val="00271A70"/>
    <w:rsid w:val="00273592"/>
    <w:rsid w:val="00284F7B"/>
    <w:rsid w:val="0028721B"/>
    <w:rsid w:val="002875B4"/>
    <w:rsid w:val="00290ACF"/>
    <w:rsid w:val="00296619"/>
    <w:rsid w:val="002967FE"/>
    <w:rsid w:val="002A1CBF"/>
    <w:rsid w:val="002A62C7"/>
    <w:rsid w:val="002A62CF"/>
    <w:rsid w:val="002B224A"/>
    <w:rsid w:val="002B2D55"/>
    <w:rsid w:val="002B3867"/>
    <w:rsid w:val="002B4957"/>
    <w:rsid w:val="002B4A92"/>
    <w:rsid w:val="002D1919"/>
    <w:rsid w:val="002D505B"/>
    <w:rsid w:val="002E24CC"/>
    <w:rsid w:val="002E6D6B"/>
    <w:rsid w:val="002F25B5"/>
    <w:rsid w:val="00300ABC"/>
    <w:rsid w:val="00302508"/>
    <w:rsid w:val="00302AFC"/>
    <w:rsid w:val="0030518C"/>
    <w:rsid w:val="003053BB"/>
    <w:rsid w:val="003063A6"/>
    <w:rsid w:val="00311B72"/>
    <w:rsid w:val="00317894"/>
    <w:rsid w:val="003234B8"/>
    <w:rsid w:val="003241AA"/>
    <w:rsid w:val="003404A2"/>
    <w:rsid w:val="0034398D"/>
    <w:rsid w:val="003454D0"/>
    <w:rsid w:val="003504E3"/>
    <w:rsid w:val="00351C78"/>
    <w:rsid w:val="00354CBD"/>
    <w:rsid w:val="00372427"/>
    <w:rsid w:val="00373FB0"/>
    <w:rsid w:val="00380680"/>
    <w:rsid w:val="00380A4D"/>
    <w:rsid w:val="00381AF7"/>
    <w:rsid w:val="00382325"/>
    <w:rsid w:val="00386A87"/>
    <w:rsid w:val="0039013E"/>
    <w:rsid w:val="003A1493"/>
    <w:rsid w:val="003A3CD8"/>
    <w:rsid w:val="003A7C0B"/>
    <w:rsid w:val="003B5EC7"/>
    <w:rsid w:val="003C4FF9"/>
    <w:rsid w:val="003C5810"/>
    <w:rsid w:val="003C620F"/>
    <w:rsid w:val="003C77EE"/>
    <w:rsid w:val="003D1752"/>
    <w:rsid w:val="003D6E4F"/>
    <w:rsid w:val="003E56B2"/>
    <w:rsid w:val="003E6B9B"/>
    <w:rsid w:val="003F087E"/>
    <w:rsid w:val="003F1DFC"/>
    <w:rsid w:val="003F2ED5"/>
    <w:rsid w:val="003F4A9B"/>
    <w:rsid w:val="003F63E8"/>
    <w:rsid w:val="00401AE7"/>
    <w:rsid w:val="00402D53"/>
    <w:rsid w:val="00402F9C"/>
    <w:rsid w:val="00417CB4"/>
    <w:rsid w:val="00425C65"/>
    <w:rsid w:val="00427C1A"/>
    <w:rsid w:val="00431673"/>
    <w:rsid w:val="0043295A"/>
    <w:rsid w:val="0043561F"/>
    <w:rsid w:val="0043598C"/>
    <w:rsid w:val="0043624E"/>
    <w:rsid w:val="0044251F"/>
    <w:rsid w:val="00445652"/>
    <w:rsid w:val="004456F2"/>
    <w:rsid w:val="00450D05"/>
    <w:rsid w:val="00462AE6"/>
    <w:rsid w:val="00464F01"/>
    <w:rsid w:val="004703E2"/>
    <w:rsid w:val="0047205E"/>
    <w:rsid w:val="0047234B"/>
    <w:rsid w:val="00474BA6"/>
    <w:rsid w:val="004808DC"/>
    <w:rsid w:val="004834AB"/>
    <w:rsid w:val="004A6CEE"/>
    <w:rsid w:val="004B07E7"/>
    <w:rsid w:val="004B19E9"/>
    <w:rsid w:val="004B7AEB"/>
    <w:rsid w:val="004C5C10"/>
    <w:rsid w:val="004D04DB"/>
    <w:rsid w:val="004D0AD9"/>
    <w:rsid w:val="004D0BEA"/>
    <w:rsid w:val="004E1104"/>
    <w:rsid w:val="004E2A92"/>
    <w:rsid w:val="004E5498"/>
    <w:rsid w:val="004F4C4E"/>
    <w:rsid w:val="004F664C"/>
    <w:rsid w:val="004F71F6"/>
    <w:rsid w:val="00504538"/>
    <w:rsid w:val="00506AC7"/>
    <w:rsid w:val="005106AB"/>
    <w:rsid w:val="00512791"/>
    <w:rsid w:val="005129CF"/>
    <w:rsid w:val="005200F6"/>
    <w:rsid w:val="00522BDE"/>
    <w:rsid w:val="00524282"/>
    <w:rsid w:val="00534AF3"/>
    <w:rsid w:val="005373B2"/>
    <w:rsid w:val="00547BEB"/>
    <w:rsid w:val="00551921"/>
    <w:rsid w:val="0055364D"/>
    <w:rsid w:val="0056124E"/>
    <w:rsid w:val="00564DCA"/>
    <w:rsid w:val="005664D6"/>
    <w:rsid w:val="0056681A"/>
    <w:rsid w:val="00566ECE"/>
    <w:rsid w:val="00572811"/>
    <w:rsid w:val="005765C5"/>
    <w:rsid w:val="0059168C"/>
    <w:rsid w:val="00595B5A"/>
    <w:rsid w:val="005A27BF"/>
    <w:rsid w:val="005B15E1"/>
    <w:rsid w:val="005B6A67"/>
    <w:rsid w:val="005E3B56"/>
    <w:rsid w:val="005E546D"/>
    <w:rsid w:val="005E7163"/>
    <w:rsid w:val="005F038E"/>
    <w:rsid w:val="005F19D1"/>
    <w:rsid w:val="0060627F"/>
    <w:rsid w:val="006063FE"/>
    <w:rsid w:val="006143F1"/>
    <w:rsid w:val="00621B3B"/>
    <w:rsid w:val="00625EFC"/>
    <w:rsid w:val="006314BD"/>
    <w:rsid w:val="00633126"/>
    <w:rsid w:val="00635DDC"/>
    <w:rsid w:val="006450B9"/>
    <w:rsid w:val="006464A5"/>
    <w:rsid w:val="00652C88"/>
    <w:rsid w:val="006653E6"/>
    <w:rsid w:val="0067121A"/>
    <w:rsid w:val="006747DE"/>
    <w:rsid w:val="00691F80"/>
    <w:rsid w:val="006954AC"/>
    <w:rsid w:val="006A01C5"/>
    <w:rsid w:val="006A198F"/>
    <w:rsid w:val="006A4B52"/>
    <w:rsid w:val="006A4D2A"/>
    <w:rsid w:val="006C52F1"/>
    <w:rsid w:val="006C740D"/>
    <w:rsid w:val="006D3CCE"/>
    <w:rsid w:val="006D3D8D"/>
    <w:rsid w:val="006D6E1F"/>
    <w:rsid w:val="006E1182"/>
    <w:rsid w:val="006E11A6"/>
    <w:rsid w:val="006F0803"/>
    <w:rsid w:val="006F1992"/>
    <w:rsid w:val="006F49B8"/>
    <w:rsid w:val="006F60A2"/>
    <w:rsid w:val="00701C3D"/>
    <w:rsid w:val="00712AAA"/>
    <w:rsid w:val="00713395"/>
    <w:rsid w:val="007160D6"/>
    <w:rsid w:val="00717574"/>
    <w:rsid w:val="00721D76"/>
    <w:rsid w:val="00727473"/>
    <w:rsid w:val="007303C9"/>
    <w:rsid w:val="00731206"/>
    <w:rsid w:val="00740427"/>
    <w:rsid w:val="007455BE"/>
    <w:rsid w:val="007466EE"/>
    <w:rsid w:val="007515F5"/>
    <w:rsid w:val="00751806"/>
    <w:rsid w:val="00755D24"/>
    <w:rsid w:val="0076010E"/>
    <w:rsid w:val="00772FE2"/>
    <w:rsid w:val="0077376F"/>
    <w:rsid w:val="00773DF8"/>
    <w:rsid w:val="007755A8"/>
    <w:rsid w:val="0078142B"/>
    <w:rsid w:val="00791E90"/>
    <w:rsid w:val="007944DA"/>
    <w:rsid w:val="00794FFF"/>
    <w:rsid w:val="007A0097"/>
    <w:rsid w:val="007A70D6"/>
    <w:rsid w:val="007A76E5"/>
    <w:rsid w:val="007B491F"/>
    <w:rsid w:val="007D1C99"/>
    <w:rsid w:val="007D3BDB"/>
    <w:rsid w:val="007E4FC1"/>
    <w:rsid w:val="007E6AA3"/>
    <w:rsid w:val="007F259B"/>
    <w:rsid w:val="007F6B03"/>
    <w:rsid w:val="00802E72"/>
    <w:rsid w:val="00807527"/>
    <w:rsid w:val="0081180F"/>
    <w:rsid w:val="00817D8B"/>
    <w:rsid w:val="00834D50"/>
    <w:rsid w:val="00840623"/>
    <w:rsid w:val="0084085F"/>
    <w:rsid w:val="00862788"/>
    <w:rsid w:val="00863733"/>
    <w:rsid w:val="008660D8"/>
    <w:rsid w:val="008675D2"/>
    <w:rsid w:val="00872449"/>
    <w:rsid w:val="00875EF6"/>
    <w:rsid w:val="00885BFF"/>
    <w:rsid w:val="008965BD"/>
    <w:rsid w:val="00896998"/>
    <w:rsid w:val="00897D23"/>
    <w:rsid w:val="008A0D7F"/>
    <w:rsid w:val="008A243B"/>
    <w:rsid w:val="008A57C4"/>
    <w:rsid w:val="008A739F"/>
    <w:rsid w:val="008B34FC"/>
    <w:rsid w:val="008B41AE"/>
    <w:rsid w:val="008B5D87"/>
    <w:rsid w:val="008C08E6"/>
    <w:rsid w:val="008C257A"/>
    <w:rsid w:val="008C6FEB"/>
    <w:rsid w:val="008E1C05"/>
    <w:rsid w:val="008E588E"/>
    <w:rsid w:val="008F35C6"/>
    <w:rsid w:val="008F38A2"/>
    <w:rsid w:val="008F69D8"/>
    <w:rsid w:val="009043AE"/>
    <w:rsid w:val="009128B7"/>
    <w:rsid w:val="00913840"/>
    <w:rsid w:val="0092170B"/>
    <w:rsid w:val="00927116"/>
    <w:rsid w:val="00927C07"/>
    <w:rsid w:val="009370EE"/>
    <w:rsid w:val="00945C81"/>
    <w:rsid w:val="00952932"/>
    <w:rsid w:val="00953AB1"/>
    <w:rsid w:val="00957650"/>
    <w:rsid w:val="00964AB7"/>
    <w:rsid w:val="00970545"/>
    <w:rsid w:val="0097165F"/>
    <w:rsid w:val="00976FDF"/>
    <w:rsid w:val="00977A5A"/>
    <w:rsid w:val="0098199E"/>
    <w:rsid w:val="00992099"/>
    <w:rsid w:val="009A0C96"/>
    <w:rsid w:val="009A3E10"/>
    <w:rsid w:val="009A4E4F"/>
    <w:rsid w:val="009B2383"/>
    <w:rsid w:val="009B75BA"/>
    <w:rsid w:val="009C2AB8"/>
    <w:rsid w:val="009C55FF"/>
    <w:rsid w:val="009C76A0"/>
    <w:rsid w:val="009D3888"/>
    <w:rsid w:val="009D66E3"/>
    <w:rsid w:val="009D701D"/>
    <w:rsid w:val="009F650C"/>
    <w:rsid w:val="00A024DD"/>
    <w:rsid w:val="00A14F8B"/>
    <w:rsid w:val="00A17550"/>
    <w:rsid w:val="00A23FF3"/>
    <w:rsid w:val="00A24D5C"/>
    <w:rsid w:val="00A30936"/>
    <w:rsid w:val="00A31C67"/>
    <w:rsid w:val="00A32AB4"/>
    <w:rsid w:val="00A337A4"/>
    <w:rsid w:val="00A35900"/>
    <w:rsid w:val="00A406B4"/>
    <w:rsid w:val="00A40F96"/>
    <w:rsid w:val="00A41512"/>
    <w:rsid w:val="00A42D66"/>
    <w:rsid w:val="00A45F85"/>
    <w:rsid w:val="00A56E84"/>
    <w:rsid w:val="00A57AE5"/>
    <w:rsid w:val="00A67CD2"/>
    <w:rsid w:val="00A70CEF"/>
    <w:rsid w:val="00A803DD"/>
    <w:rsid w:val="00A825FB"/>
    <w:rsid w:val="00A83591"/>
    <w:rsid w:val="00A8527B"/>
    <w:rsid w:val="00A85364"/>
    <w:rsid w:val="00A87719"/>
    <w:rsid w:val="00A933CF"/>
    <w:rsid w:val="00A96737"/>
    <w:rsid w:val="00AA263D"/>
    <w:rsid w:val="00AB50A8"/>
    <w:rsid w:val="00AB77E2"/>
    <w:rsid w:val="00AC2C81"/>
    <w:rsid w:val="00AC5926"/>
    <w:rsid w:val="00AD0763"/>
    <w:rsid w:val="00AD1300"/>
    <w:rsid w:val="00AE3AF8"/>
    <w:rsid w:val="00AE72F3"/>
    <w:rsid w:val="00AF03B6"/>
    <w:rsid w:val="00B00B77"/>
    <w:rsid w:val="00B0113C"/>
    <w:rsid w:val="00B213FE"/>
    <w:rsid w:val="00B2385B"/>
    <w:rsid w:val="00B30FF1"/>
    <w:rsid w:val="00B42BCA"/>
    <w:rsid w:val="00B4675E"/>
    <w:rsid w:val="00B471C0"/>
    <w:rsid w:val="00B47967"/>
    <w:rsid w:val="00B548F1"/>
    <w:rsid w:val="00B56E86"/>
    <w:rsid w:val="00B60609"/>
    <w:rsid w:val="00B607F4"/>
    <w:rsid w:val="00B60901"/>
    <w:rsid w:val="00B679FA"/>
    <w:rsid w:val="00B75542"/>
    <w:rsid w:val="00B80023"/>
    <w:rsid w:val="00B837E8"/>
    <w:rsid w:val="00B915FF"/>
    <w:rsid w:val="00B927EF"/>
    <w:rsid w:val="00B92F5F"/>
    <w:rsid w:val="00BA2CBC"/>
    <w:rsid w:val="00BB34C5"/>
    <w:rsid w:val="00BC3C4D"/>
    <w:rsid w:val="00BD418D"/>
    <w:rsid w:val="00BE58FF"/>
    <w:rsid w:val="00BE6457"/>
    <w:rsid w:val="00BF21EE"/>
    <w:rsid w:val="00BF2C83"/>
    <w:rsid w:val="00BF7454"/>
    <w:rsid w:val="00C02856"/>
    <w:rsid w:val="00C14202"/>
    <w:rsid w:val="00C14741"/>
    <w:rsid w:val="00C202C2"/>
    <w:rsid w:val="00C248E1"/>
    <w:rsid w:val="00C27BE6"/>
    <w:rsid w:val="00C30F1B"/>
    <w:rsid w:val="00C33F4C"/>
    <w:rsid w:val="00C41202"/>
    <w:rsid w:val="00C42CAC"/>
    <w:rsid w:val="00C43498"/>
    <w:rsid w:val="00C44F64"/>
    <w:rsid w:val="00C50E19"/>
    <w:rsid w:val="00C664A5"/>
    <w:rsid w:val="00C66780"/>
    <w:rsid w:val="00C67B6E"/>
    <w:rsid w:val="00C74DF2"/>
    <w:rsid w:val="00C7506D"/>
    <w:rsid w:val="00C76796"/>
    <w:rsid w:val="00C77EF8"/>
    <w:rsid w:val="00C829FC"/>
    <w:rsid w:val="00C82CE6"/>
    <w:rsid w:val="00C870EC"/>
    <w:rsid w:val="00C92EC6"/>
    <w:rsid w:val="00C9490A"/>
    <w:rsid w:val="00CB0B84"/>
    <w:rsid w:val="00CB3C6D"/>
    <w:rsid w:val="00CB55A2"/>
    <w:rsid w:val="00CC567B"/>
    <w:rsid w:val="00CC5836"/>
    <w:rsid w:val="00CD79C6"/>
    <w:rsid w:val="00CE008E"/>
    <w:rsid w:val="00CE1512"/>
    <w:rsid w:val="00CE59A0"/>
    <w:rsid w:val="00CF1E5C"/>
    <w:rsid w:val="00CF33C6"/>
    <w:rsid w:val="00D07228"/>
    <w:rsid w:val="00D15040"/>
    <w:rsid w:val="00D16242"/>
    <w:rsid w:val="00D2279A"/>
    <w:rsid w:val="00D3324B"/>
    <w:rsid w:val="00D360EE"/>
    <w:rsid w:val="00D40FED"/>
    <w:rsid w:val="00D41331"/>
    <w:rsid w:val="00D43DDF"/>
    <w:rsid w:val="00D45428"/>
    <w:rsid w:val="00D518BD"/>
    <w:rsid w:val="00D631C0"/>
    <w:rsid w:val="00D636AE"/>
    <w:rsid w:val="00D71FF5"/>
    <w:rsid w:val="00D74741"/>
    <w:rsid w:val="00D77555"/>
    <w:rsid w:val="00D8144B"/>
    <w:rsid w:val="00D82567"/>
    <w:rsid w:val="00D82B9B"/>
    <w:rsid w:val="00D94012"/>
    <w:rsid w:val="00DB61C9"/>
    <w:rsid w:val="00DB6F74"/>
    <w:rsid w:val="00DC1FB2"/>
    <w:rsid w:val="00DC3460"/>
    <w:rsid w:val="00DC6B3A"/>
    <w:rsid w:val="00DD0C0C"/>
    <w:rsid w:val="00DE09B1"/>
    <w:rsid w:val="00DE51AD"/>
    <w:rsid w:val="00E02849"/>
    <w:rsid w:val="00E050AA"/>
    <w:rsid w:val="00E11563"/>
    <w:rsid w:val="00E12310"/>
    <w:rsid w:val="00E1351F"/>
    <w:rsid w:val="00E137AB"/>
    <w:rsid w:val="00E13825"/>
    <w:rsid w:val="00E17A9E"/>
    <w:rsid w:val="00E2371B"/>
    <w:rsid w:val="00E32F62"/>
    <w:rsid w:val="00E33BEB"/>
    <w:rsid w:val="00E340E8"/>
    <w:rsid w:val="00E356D0"/>
    <w:rsid w:val="00E44B8F"/>
    <w:rsid w:val="00E44FBD"/>
    <w:rsid w:val="00E46FCE"/>
    <w:rsid w:val="00E5057B"/>
    <w:rsid w:val="00E52E64"/>
    <w:rsid w:val="00E564A1"/>
    <w:rsid w:val="00E57BDE"/>
    <w:rsid w:val="00E614AF"/>
    <w:rsid w:val="00E62632"/>
    <w:rsid w:val="00E641C7"/>
    <w:rsid w:val="00E65EA7"/>
    <w:rsid w:val="00E66797"/>
    <w:rsid w:val="00E702EF"/>
    <w:rsid w:val="00E72400"/>
    <w:rsid w:val="00E90CE5"/>
    <w:rsid w:val="00E92919"/>
    <w:rsid w:val="00E96185"/>
    <w:rsid w:val="00EA0A27"/>
    <w:rsid w:val="00EA4E6E"/>
    <w:rsid w:val="00EA4ED2"/>
    <w:rsid w:val="00EB6DC7"/>
    <w:rsid w:val="00EC2756"/>
    <w:rsid w:val="00ED1440"/>
    <w:rsid w:val="00ED4E7C"/>
    <w:rsid w:val="00ED66CF"/>
    <w:rsid w:val="00ED778B"/>
    <w:rsid w:val="00EE6C9C"/>
    <w:rsid w:val="00EF0E73"/>
    <w:rsid w:val="00EF5FB6"/>
    <w:rsid w:val="00EF6286"/>
    <w:rsid w:val="00EF779A"/>
    <w:rsid w:val="00EF7F84"/>
    <w:rsid w:val="00F007A6"/>
    <w:rsid w:val="00F00A9F"/>
    <w:rsid w:val="00F00C2C"/>
    <w:rsid w:val="00F04817"/>
    <w:rsid w:val="00F13261"/>
    <w:rsid w:val="00F22DD6"/>
    <w:rsid w:val="00F24B38"/>
    <w:rsid w:val="00F262C7"/>
    <w:rsid w:val="00F27FB7"/>
    <w:rsid w:val="00F307BC"/>
    <w:rsid w:val="00F34146"/>
    <w:rsid w:val="00F37512"/>
    <w:rsid w:val="00F37A10"/>
    <w:rsid w:val="00F4165F"/>
    <w:rsid w:val="00F4504C"/>
    <w:rsid w:val="00F47383"/>
    <w:rsid w:val="00F54499"/>
    <w:rsid w:val="00F574FE"/>
    <w:rsid w:val="00F63595"/>
    <w:rsid w:val="00F644C4"/>
    <w:rsid w:val="00F700F3"/>
    <w:rsid w:val="00F72662"/>
    <w:rsid w:val="00F76E4F"/>
    <w:rsid w:val="00F8365C"/>
    <w:rsid w:val="00F917BD"/>
    <w:rsid w:val="00F92E2B"/>
    <w:rsid w:val="00FA03B3"/>
    <w:rsid w:val="00FA20D5"/>
    <w:rsid w:val="00FA2206"/>
    <w:rsid w:val="00FA3369"/>
    <w:rsid w:val="00FA3DA5"/>
    <w:rsid w:val="00FB60C4"/>
    <w:rsid w:val="00FC68B7"/>
    <w:rsid w:val="00FD7AC0"/>
    <w:rsid w:val="00FD7F3E"/>
    <w:rsid w:val="00FE0AE4"/>
    <w:rsid w:val="00FE69D7"/>
    <w:rsid w:val="00FE739D"/>
    <w:rsid w:val="00FF1D56"/>
    <w:rsid w:val="00FF314D"/>
    <w:rsid w:val="00FF7375"/>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562"/>
  <w15:docId w15:val="{07A1D845-03E9-4971-9846-A0784D88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36"/>
  </w:style>
  <w:style w:type="paragraph" w:styleId="Heading1">
    <w:name w:val="heading 1"/>
    <w:basedOn w:val="Normal"/>
    <w:next w:val="Normal"/>
    <w:link w:val="Heading1Char"/>
    <w:uiPriority w:val="9"/>
    <w:qFormat/>
    <w:rsid w:val="000B3357"/>
    <w:pPr>
      <w:keepNext/>
      <w:spacing w:before="240" w:after="60" w:line="259" w:lineRule="auto"/>
      <w:jc w:val="left"/>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D74741"/>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404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39D"/>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8A243B"/>
    <w:pPr>
      <w:ind w:left="720"/>
      <w:contextualSpacing/>
    </w:pPr>
  </w:style>
  <w:style w:type="paragraph" w:styleId="BalloonText">
    <w:name w:val="Balloon Text"/>
    <w:basedOn w:val="Normal"/>
    <w:link w:val="BalloonTextChar"/>
    <w:uiPriority w:val="99"/>
    <w:semiHidden/>
    <w:unhideWhenUsed/>
    <w:rsid w:val="00D51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8BD"/>
    <w:rPr>
      <w:rFonts w:ascii="Segoe UI" w:hAnsi="Segoe UI" w:cs="Segoe UI"/>
      <w:sz w:val="18"/>
      <w:szCs w:val="18"/>
    </w:rPr>
  </w:style>
  <w:style w:type="paragraph" w:styleId="Header">
    <w:name w:val="header"/>
    <w:basedOn w:val="Normal"/>
    <w:link w:val="HeaderChar"/>
    <w:uiPriority w:val="99"/>
    <w:unhideWhenUsed/>
    <w:rsid w:val="0026414F"/>
    <w:pPr>
      <w:tabs>
        <w:tab w:val="center" w:pos="4680"/>
        <w:tab w:val="right" w:pos="9360"/>
      </w:tabs>
    </w:pPr>
  </w:style>
  <w:style w:type="character" w:customStyle="1" w:styleId="HeaderChar">
    <w:name w:val="Header Char"/>
    <w:basedOn w:val="DefaultParagraphFont"/>
    <w:link w:val="Header"/>
    <w:uiPriority w:val="99"/>
    <w:rsid w:val="0026414F"/>
  </w:style>
  <w:style w:type="paragraph" w:styleId="Footer">
    <w:name w:val="footer"/>
    <w:basedOn w:val="Normal"/>
    <w:link w:val="FooterChar"/>
    <w:uiPriority w:val="99"/>
    <w:unhideWhenUsed/>
    <w:rsid w:val="0026414F"/>
    <w:pPr>
      <w:tabs>
        <w:tab w:val="center" w:pos="4680"/>
        <w:tab w:val="right" w:pos="9360"/>
      </w:tabs>
    </w:pPr>
  </w:style>
  <w:style w:type="character" w:customStyle="1" w:styleId="FooterChar">
    <w:name w:val="Footer Char"/>
    <w:basedOn w:val="DefaultParagraphFont"/>
    <w:link w:val="Footer"/>
    <w:uiPriority w:val="99"/>
    <w:rsid w:val="0026414F"/>
  </w:style>
  <w:style w:type="character" w:customStyle="1" w:styleId="Heading2Char">
    <w:name w:val="Heading 2 Char"/>
    <w:basedOn w:val="DefaultParagraphFont"/>
    <w:link w:val="Heading2"/>
    <w:uiPriority w:val="9"/>
    <w:rsid w:val="00D74741"/>
    <w:rPr>
      <w:rFonts w:eastAsia="Times New Roman" w:cs="Times New Roman"/>
      <w:b/>
      <w:bCs/>
      <w:sz w:val="36"/>
      <w:szCs w:val="36"/>
    </w:rPr>
  </w:style>
  <w:style w:type="character" w:styleId="Strong">
    <w:name w:val="Strong"/>
    <w:basedOn w:val="DefaultParagraphFont"/>
    <w:uiPriority w:val="22"/>
    <w:qFormat/>
    <w:rsid w:val="00D74741"/>
    <w:rPr>
      <w:b/>
      <w:bCs/>
    </w:rPr>
  </w:style>
  <w:style w:type="character" w:styleId="Hyperlink">
    <w:name w:val="Hyperlink"/>
    <w:basedOn w:val="DefaultParagraphFont"/>
    <w:uiPriority w:val="99"/>
    <w:semiHidden/>
    <w:unhideWhenUsed/>
    <w:rsid w:val="00D74741"/>
    <w:rPr>
      <w:color w:val="0000FF"/>
      <w:u w:val="single"/>
    </w:rPr>
  </w:style>
  <w:style w:type="character" w:customStyle="1" w:styleId="apple-style-span">
    <w:name w:val="apple-style-span"/>
    <w:rsid w:val="005B15E1"/>
  </w:style>
  <w:style w:type="character" w:customStyle="1" w:styleId="Heading3Char">
    <w:name w:val="Heading 3 Char"/>
    <w:basedOn w:val="DefaultParagraphFont"/>
    <w:link w:val="Heading3"/>
    <w:uiPriority w:val="9"/>
    <w:semiHidden/>
    <w:rsid w:val="00740427"/>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B3357"/>
    <w:rPr>
      <w:rFonts w:ascii="Calibri Light" w:eastAsia="Times New Roman" w:hAnsi="Calibri Light" w:cs="Times New Roman"/>
      <w:b/>
      <w:bCs/>
      <w:kern w:val="32"/>
      <w:sz w:val="32"/>
      <w:szCs w:val="32"/>
    </w:rPr>
  </w:style>
  <w:style w:type="character" w:styleId="Emphasis">
    <w:name w:val="Emphasis"/>
    <w:uiPriority w:val="20"/>
    <w:qFormat/>
    <w:rsid w:val="00103B20"/>
    <w:rPr>
      <w:i/>
      <w:iCs/>
    </w:rPr>
  </w:style>
  <w:style w:type="paragraph" w:customStyle="1" w:styleId="p1">
    <w:name w:val="p1"/>
    <w:basedOn w:val="Normal"/>
    <w:rsid w:val="00D16242"/>
    <w:pPr>
      <w:spacing w:before="100" w:beforeAutospacing="1" w:after="100" w:afterAutospacing="1"/>
      <w:jc w:val="left"/>
    </w:pPr>
    <w:rPr>
      <w:rFonts w:eastAsia="Calibri" w:cs="Times New Roman"/>
      <w:sz w:val="24"/>
      <w:szCs w:val="24"/>
    </w:rPr>
  </w:style>
  <w:style w:type="paragraph" w:customStyle="1" w:styleId="p2">
    <w:name w:val="p2"/>
    <w:basedOn w:val="Normal"/>
    <w:rsid w:val="00D16242"/>
    <w:pPr>
      <w:spacing w:before="100" w:beforeAutospacing="1" w:after="100" w:afterAutospacing="1"/>
      <w:jc w:val="left"/>
    </w:pPr>
    <w:rPr>
      <w:rFonts w:eastAsia="Calibri" w:cs="Times New Roman"/>
      <w:sz w:val="24"/>
      <w:szCs w:val="24"/>
    </w:rPr>
  </w:style>
  <w:style w:type="paragraph" w:customStyle="1" w:styleId="p4">
    <w:name w:val="p4"/>
    <w:basedOn w:val="Normal"/>
    <w:rsid w:val="00D16242"/>
    <w:pPr>
      <w:spacing w:before="100" w:beforeAutospacing="1" w:after="100" w:afterAutospacing="1"/>
      <w:jc w:val="left"/>
    </w:pPr>
    <w:rPr>
      <w:rFonts w:eastAsia="Calibri" w:cs="Times New Roman"/>
      <w:sz w:val="24"/>
      <w:szCs w:val="24"/>
    </w:rPr>
  </w:style>
  <w:style w:type="character" w:customStyle="1" w:styleId="s1">
    <w:name w:val="s1"/>
    <w:rsid w:val="00D16242"/>
  </w:style>
  <w:style w:type="character" w:customStyle="1" w:styleId="s2">
    <w:name w:val="s2"/>
    <w:rsid w:val="00D16242"/>
  </w:style>
  <w:style w:type="paragraph" w:customStyle="1" w:styleId="Default">
    <w:name w:val="Default"/>
    <w:rsid w:val="00273592"/>
    <w:pPr>
      <w:autoSpaceDE w:val="0"/>
      <w:autoSpaceDN w:val="0"/>
      <w:adjustRightInd w:val="0"/>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172">
      <w:bodyDiv w:val="1"/>
      <w:marLeft w:val="0"/>
      <w:marRight w:val="0"/>
      <w:marTop w:val="0"/>
      <w:marBottom w:val="0"/>
      <w:divBdr>
        <w:top w:val="none" w:sz="0" w:space="0" w:color="auto"/>
        <w:left w:val="none" w:sz="0" w:space="0" w:color="auto"/>
        <w:bottom w:val="none" w:sz="0" w:space="0" w:color="auto"/>
        <w:right w:val="none" w:sz="0" w:space="0" w:color="auto"/>
      </w:divBdr>
    </w:div>
    <w:div w:id="238171039">
      <w:bodyDiv w:val="1"/>
      <w:marLeft w:val="0"/>
      <w:marRight w:val="0"/>
      <w:marTop w:val="0"/>
      <w:marBottom w:val="0"/>
      <w:divBdr>
        <w:top w:val="none" w:sz="0" w:space="0" w:color="auto"/>
        <w:left w:val="none" w:sz="0" w:space="0" w:color="auto"/>
        <w:bottom w:val="none" w:sz="0" w:space="0" w:color="auto"/>
        <w:right w:val="none" w:sz="0" w:space="0" w:color="auto"/>
      </w:divBdr>
    </w:div>
    <w:div w:id="440732454">
      <w:bodyDiv w:val="1"/>
      <w:marLeft w:val="0"/>
      <w:marRight w:val="0"/>
      <w:marTop w:val="0"/>
      <w:marBottom w:val="0"/>
      <w:divBdr>
        <w:top w:val="none" w:sz="0" w:space="0" w:color="auto"/>
        <w:left w:val="none" w:sz="0" w:space="0" w:color="auto"/>
        <w:bottom w:val="none" w:sz="0" w:space="0" w:color="auto"/>
        <w:right w:val="none" w:sz="0" w:space="0" w:color="auto"/>
      </w:divBdr>
      <w:divsChild>
        <w:div w:id="240724258">
          <w:marLeft w:val="0"/>
          <w:marRight w:val="0"/>
          <w:marTop w:val="0"/>
          <w:marBottom w:val="0"/>
          <w:divBdr>
            <w:top w:val="none" w:sz="0" w:space="0" w:color="auto"/>
            <w:left w:val="none" w:sz="0" w:space="0" w:color="auto"/>
            <w:bottom w:val="none" w:sz="0" w:space="0" w:color="auto"/>
            <w:right w:val="none" w:sz="0" w:space="0" w:color="auto"/>
          </w:divBdr>
        </w:div>
        <w:div w:id="160463583">
          <w:marLeft w:val="0"/>
          <w:marRight w:val="0"/>
          <w:marTop w:val="0"/>
          <w:marBottom w:val="0"/>
          <w:divBdr>
            <w:top w:val="none" w:sz="0" w:space="0" w:color="auto"/>
            <w:left w:val="none" w:sz="0" w:space="0" w:color="auto"/>
            <w:bottom w:val="none" w:sz="0" w:space="0" w:color="auto"/>
            <w:right w:val="none" w:sz="0" w:space="0" w:color="auto"/>
          </w:divBdr>
          <w:divsChild>
            <w:div w:id="559749102">
              <w:marLeft w:val="0"/>
              <w:marRight w:val="0"/>
              <w:marTop w:val="0"/>
              <w:marBottom w:val="300"/>
              <w:divBdr>
                <w:top w:val="none" w:sz="0" w:space="0" w:color="auto"/>
                <w:left w:val="none" w:sz="0" w:space="0" w:color="auto"/>
                <w:bottom w:val="none" w:sz="0" w:space="0" w:color="auto"/>
                <w:right w:val="none" w:sz="0" w:space="0" w:color="auto"/>
              </w:divBdr>
              <w:divsChild>
                <w:div w:id="1277176662">
                  <w:marLeft w:val="0"/>
                  <w:marRight w:val="0"/>
                  <w:marTop w:val="0"/>
                  <w:marBottom w:val="0"/>
                  <w:divBdr>
                    <w:top w:val="none" w:sz="0" w:space="0" w:color="auto"/>
                    <w:left w:val="none" w:sz="0" w:space="0" w:color="auto"/>
                    <w:bottom w:val="none" w:sz="0" w:space="0" w:color="auto"/>
                    <w:right w:val="none" w:sz="0" w:space="0" w:color="auto"/>
                  </w:divBdr>
                  <w:divsChild>
                    <w:div w:id="482745318">
                      <w:marLeft w:val="0"/>
                      <w:marRight w:val="0"/>
                      <w:marTop w:val="0"/>
                      <w:marBottom w:val="0"/>
                      <w:divBdr>
                        <w:top w:val="none" w:sz="0" w:space="0" w:color="auto"/>
                        <w:left w:val="none" w:sz="0" w:space="0" w:color="auto"/>
                        <w:bottom w:val="none" w:sz="0" w:space="0" w:color="auto"/>
                        <w:right w:val="none" w:sz="0" w:space="0" w:color="auto"/>
                      </w:divBdr>
                    </w:div>
                    <w:div w:id="1160120257">
                      <w:marLeft w:val="0"/>
                      <w:marRight w:val="0"/>
                      <w:marTop w:val="0"/>
                      <w:marBottom w:val="0"/>
                      <w:divBdr>
                        <w:top w:val="none" w:sz="0" w:space="0" w:color="auto"/>
                        <w:left w:val="none" w:sz="0" w:space="0" w:color="auto"/>
                        <w:bottom w:val="none" w:sz="0" w:space="0" w:color="auto"/>
                        <w:right w:val="none" w:sz="0" w:space="0" w:color="auto"/>
                      </w:divBdr>
                    </w:div>
                    <w:div w:id="1955792499">
                      <w:marLeft w:val="0"/>
                      <w:marRight w:val="0"/>
                      <w:marTop w:val="0"/>
                      <w:marBottom w:val="0"/>
                      <w:divBdr>
                        <w:top w:val="none" w:sz="0" w:space="0" w:color="auto"/>
                        <w:left w:val="none" w:sz="0" w:space="0" w:color="auto"/>
                        <w:bottom w:val="none" w:sz="0" w:space="0" w:color="auto"/>
                        <w:right w:val="none" w:sz="0" w:space="0" w:color="auto"/>
                      </w:divBdr>
                    </w:div>
                    <w:div w:id="1921593715">
                      <w:marLeft w:val="0"/>
                      <w:marRight w:val="0"/>
                      <w:marTop w:val="0"/>
                      <w:marBottom w:val="0"/>
                      <w:divBdr>
                        <w:top w:val="none" w:sz="0" w:space="0" w:color="auto"/>
                        <w:left w:val="none" w:sz="0" w:space="0" w:color="auto"/>
                        <w:bottom w:val="none" w:sz="0" w:space="0" w:color="auto"/>
                        <w:right w:val="none" w:sz="0" w:space="0" w:color="auto"/>
                      </w:divBdr>
                    </w:div>
                    <w:div w:id="4729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72939">
      <w:bodyDiv w:val="1"/>
      <w:marLeft w:val="0"/>
      <w:marRight w:val="0"/>
      <w:marTop w:val="0"/>
      <w:marBottom w:val="0"/>
      <w:divBdr>
        <w:top w:val="none" w:sz="0" w:space="0" w:color="auto"/>
        <w:left w:val="none" w:sz="0" w:space="0" w:color="auto"/>
        <w:bottom w:val="none" w:sz="0" w:space="0" w:color="auto"/>
        <w:right w:val="none" w:sz="0" w:space="0" w:color="auto"/>
      </w:divBdr>
    </w:div>
    <w:div w:id="945382819">
      <w:bodyDiv w:val="1"/>
      <w:marLeft w:val="0"/>
      <w:marRight w:val="0"/>
      <w:marTop w:val="0"/>
      <w:marBottom w:val="0"/>
      <w:divBdr>
        <w:top w:val="none" w:sz="0" w:space="0" w:color="auto"/>
        <w:left w:val="none" w:sz="0" w:space="0" w:color="auto"/>
        <w:bottom w:val="none" w:sz="0" w:space="0" w:color="auto"/>
        <w:right w:val="none" w:sz="0" w:space="0" w:color="auto"/>
      </w:divBdr>
    </w:div>
    <w:div w:id="976423174">
      <w:bodyDiv w:val="1"/>
      <w:marLeft w:val="0"/>
      <w:marRight w:val="0"/>
      <w:marTop w:val="0"/>
      <w:marBottom w:val="0"/>
      <w:divBdr>
        <w:top w:val="none" w:sz="0" w:space="0" w:color="auto"/>
        <w:left w:val="none" w:sz="0" w:space="0" w:color="auto"/>
        <w:bottom w:val="none" w:sz="0" w:space="0" w:color="auto"/>
        <w:right w:val="none" w:sz="0" w:space="0" w:color="auto"/>
      </w:divBdr>
    </w:div>
    <w:div w:id="1113401580">
      <w:bodyDiv w:val="1"/>
      <w:marLeft w:val="0"/>
      <w:marRight w:val="0"/>
      <w:marTop w:val="0"/>
      <w:marBottom w:val="0"/>
      <w:divBdr>
        <w:top w:val="none" w:sz="0" w:space="0" w:color="auto"/>
        <w:left w:val="none" w:sz="0" w:space="0" w:color="auto"/>
        <w:bottom w:val="none" w:sz="0" w:space="0" w:color="auto"/>
        <w:right w:val="none" w:sz="0" w:space="0" w:color="auto"/>
      </w:divBdr>
    </w:div>
    <w:div w:id="1265653258">
      <w:bodyDiv w:val="1"/>
      <w:marLeft w:val="0"/>
      <w:marRight w:val="0"/>
      <w:marTop w:val="0"/>
      <w:marBottom w:val="0"/>
      <w:divBdr>
        <w:top w:val="none" w:sz="0" w:space="0" w:color="auto"/>
        <w:left w:val="none" w:sz="0" w:space="0" w:color="auto"/>
        <w:bottom w:val="none" w:sz="0" w:space="0" w:color="auto"/>
        <w:right w:val="none" w:sz="0" w:space="0" w:color="auto"/>
      </w:divBdr>
    </w:div>
    <w:div w:id="1273056755">
      <w:bodyDiv w:val="1"/>
      <w:marLeft w:val="0"/>
      <w:marRight w:val="0"/>
      <w:marTop w:val="0"/>
      <w:marBottom w:val="0"/>
      <w:divBdr>
        <w:top w:val="none" w:sz="0" w:space="0" w:color="auto"/>
        <w:left w:val="none" w:sz="0" w:space="0" w:color="auto"/>
        <w:bottom w:val="none" w:sz="0" w:space="0" w:color="auto"/>
        <w:right w:val="none" w:sz="0" w:space="0" w:color="auto"/>
      </w:divBdr>
    </w:div>
    <w:div w:id="1293706727">
      <w:bodyDiv w:val="1"/>
      <w:marLeft w:val="0"/>
      <w:marRight w:val="0"/>
      <w:marTop w:val="0"/>
      <w:marBottom w:val="0"/>
      <w:divBdr>
        <w:top w:val="none" w:sz="0" w:space="0" w:color="auto"/>
        <w:left w:val="none" w:sz="0" w:space="0" w:color="auto"/>
        <w:bottom w:val="none" w:sz="0" w:space="0" w:color="auto"/>
        <w:right w:val="none" w:sz="0" w:space="0" w:color="auto"/>
      </w:divBdr>
    </w:div>
    <w:div w:id="1349719906">
      <w:bodyDiv w:val="1"/>
      <w:marLeft w:val="0"/>
      <w:marRight w:val="0"/>
      <w:marTop w:val="0"/>
      <w:marBottom w:val="0"/>
      <w:divBdr>
        <w:top w:val="none" w:sz="0" w:space="0" w:color="auto"/>
        <w:left w:val="none" w:sz="0" w:space="0" w:color="auto"/>
        <w:bottom w:val="none" w:sz="0" w:space="0" w:color="auto"/>
        <w:right w:val="none" w:sz="0" w:space="0" w:color="auto"/>
      </w:divBdr>
    </w:div>
    <w:div w:id="1390224030">
      <w:bodyDiv w:val="1"/>
      <w:marLeft w:val="0"/>
      <w:marRight w:val="0"/>
      <w:marTop w:val="0"/>
      <w:marBottom w:val="0"/>
      <w:divBdr>
        <w:top w:val="none" w:sz="0" w:space="0" w:color="auto"/>
        <w:left w:val="none" w:sz="0" w:space="0" w:color="auto"/>
        <w:bottom w:val="none" w:sz="0" w:space="0" w:color="auto"/>
        <w:right w:val="none" w:sz="0" w:space="0" w:color="auto"/>
      </w:divBdr>
    </w:div>
    <w:div w:id="1608350456">
      <w:bodyDiv w:val="1"/>
      <w:marLeft w:val="0"/>
      <w:marRight w:val="0"/>
      <w:marTop w:val="0"/>
      <w:marBottom w:val="0"/>
      <w:divBdr>
        <w:top w:val="none" w:sz="0" w:space="0" w:color="auto"/>
        <w:left w:val="none" w:sz="0" w:space="0" w:color="auto"/>
        <w:bottom w:val="none" w:sz="0" w:space="0" w:color="auto"/>
        <w:right w:val="none" w:sz="0" w:space="0" w:color="auto"/>
      </w:divBdr>
    </w:div>
    <w:div w:id="1624386593">
      <w:bodyDiv w:val="1"/>
      <w:marLeft w:val="0"/>
      <w:marRight w:val="0"/>
      <w:marTop w:val="0"/>
      <w:marBottom w:val="0"/>
      <w:divBdr>
        <w:top w:val="none" w:sz="0" w:space="0" w:color="auto"/>
        <w:left w:val="none" w:sz="0" w:space="0" w:color="auto"/>
        <w:bottom w:val="none" w:sz="0" w:space="0" w:color="auto"/>
        <w:right w:val="none" w:sz="0" w:space="0" w:color="auto"/>
      </w:divBdr>
    </w:div>
    <w:div w:id="1640647919">
      <w:bodyDiv w:val="1"/>
      <w:marLeft w:val="0"/>
      <w:marRight w:val="0"/>
      <w:marTop w:val="0"/>
      <w:marBottom w:val="0"/>
      <w:divBdr>
        <w:top w:val="none" w:sz="0" w:space="0" w:color="auto"/>
        <w:left w:val="none" w:sz="0" w:space="0" w:color="auto"/>
        <w:bottom w:val="none" w:sz="0" w:space="0" w:color="auto"/>
        <w:right w:val="none" w:sz="0" w:space="0" w:color="auto"/>
      </w:divBdr>
    </w:div>
    <w:div w:id="1684817307">
      <w:bodyDiv w:val="1"/>
      <w:marLeft w:val="0"/>
      <w:marRight w:val="0"/>
      <w:marTop w:val="0"/>
      <w:marBottom w:val="0"/>
      <w:divBdr>
        <w:top w:val="none" w:sz="0" w:space="0" w:color="auto"/>
        <w:left w:val="none" w:sz="0" w:space="0" w:color="auto"/>
        <w:bottom w:val="none" w:sz="0" w:space="0" w:color="auto"/>
        <w:right w:val="none" w:sz="0" w:space="0" w:color="auto"/>
      </w:divBdr>
    </w:div>
    <w:div w:id="1877964980">
      <w:bodyDiv w:val="1"/>
      <w:marLeft w:val="0"/>
      <w:marRight w:val="0"/>
      <w:marTop w:val="0"/>
      <w:marBottom w:val="0"/>
      <w:divBdr>
        <w:top w:val="none" w:sz="0" w:space="0" w:color="auto"/>
        <w:left w:val="none" w:sz="0" w:space="0" w:color="auto"/>
        <w:bottom w:val="none" w:sz="0" w:space="0" w:color="auto"/>
        <w:right w:val="none" w:sz="0" w:space="0" w:color="auto"/>
      </w:divBdr>
    </w:div>
    <w:div w:id="1926105591">
      <w:bodyDiv w:val="1"/>
      <w:marLeft w:val="0"/>
      <w:marRight w:val="0"/>
      <w:marTop w:val="0"/>
      <w:marBottom w:val="0"/>
      <w:divBdr>
        <w:top w:val="none" w:sz="0" w:space="0" w:color="auto"/>
        <w:left w:val="none" w:sz="0" w:space="0" w:color="auto"/>
        <w:bottom w:val="none" w:sz="0" w:space="0" w:color="auto"/>
        <w:right w:val="none" w:sz="0" w:space="0" w:color="auto"/>
      </w:divBdr>
    </w:div>
    <w:div w:id="1990160834">
      <w:bodyDiv w:val="1"/>
      <w:marLeft w:val="0"/>
      <w:marRight w:val="0"/>
      <w:marTop w:val="0"/>
      <w:marBottom w:val="0"/>
      <w:divBdr>
        <w:top w:val="none" w:sz="0" w:space="0" w:color="auto"/>
        <w:left w:val="none" w:sz="0" w:space="0" w:color="auto"/>
        <w:bottom w:val="none" w:sz="0" w:space="0" w:color="auto"/>
        <w:right w:val="none" w:sz="0" w:space="0" w:color="auto"/>
      </w:divBdr>
    </w:div>
    <w:div w:id="21256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24-2023-ND-CP-muc-luong-co-so-can-bo-cong-vien-chuc-luc-luong-vu-trang-432518.aspx"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huvienphapluat.vn/cong-van/Bao-hiem/Cong-van-4082-BYT-BH-2023-ap-dung-muc-luong-co-so-tai-Nghi-dinh-24-2023-ND-CP-571404.aspx" TargetMode="External"/><Relationship Id="rId12" Type="http://schemas.openxmlformats.org/officeDocument/2006/relationships/hyperlink" Target="https://thuvienphapluat.vn/van-ban/The-thao-Y-te/Nghi-dinh-146-2018-ND-CP-huong-dan-Luat-bao-hiem-y-te-357505.aspx?anchor=dieu_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Lao-dong-Tien-luong/Nghi-dinh-24-2023-ND-CP-muc-luong-co-so-can-bo-cong-vien-chuc-luc-luong-vu-trang-432518.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Lao-dong-Tien-luong/Nghi-dinh-38-2019-ND-CP-muc-luong-co-so-doi-voi-can-bo-cong-chuc-vien-chuc-va-luc-luong-vu-trang-403576.aspx" TargetMode="External"/><Relationship Id="rId4" Type="http://schemas.openxmlformats.org/officeDocument/2006/relationships/webSettings" Target="webSettings.xml"/><Relationship Id="rId9" Type="http://schemas.openxmlformats.org/officeDocument/2006/relationships/hyperlink" Target="https://thuvienphapluat.vn/van-ban/Bao-hiem/Thong-tu-04-2017-TT-BYT-Danh-muc-ty-le-dieu-kien-thanh-toan-vat-tu-y-te-nguoi-tham-gia-bao-hiem-y-te-290390.aspx?anchor=dieu_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phuongpt</dc:creator>
  <cp:lastModifiedBy>Nguyen Van Sy</cp:lastModifiedBy>
  <cp:revision>61</cp:revision>
  <cp:lastPrinted>2023-03-29T08:18:00Z</cp:lastPrinted>
  <dcterms:created xsi:type="dcterms:W3CDTF">2023-07-13T12:21:00Z</dcterms:created>
  <dcterms:modified xsi:type="dcterms:W3CDTF">2023-07-17T03:31:00Z</dcterms:modified>
</cp:coreProperties>
</file>