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EB87" w14:textId="34A4D9F1" w:rsidR="007515F5" w:rsidRPr="009269C9" w:rsidRDefault="007515F5" w:rsidP="00FE1CE3">
      <w:pPr>
        <w:jc w:val="center"/>
        <w:rPr>
          <w:rFonts w:cs="Times New Roman"/>
          <w:b/>
          <w:sz w:val="27"/>
          <w:szCs w:val="27"/>
        </w:rPr>
      </w:pPr>
      <w:r w:rsidRPr="009269C9">
        <w:rPr>
          <w:rFonts w:cs="Times New Roman"/>
          <w:b/>
          <w:sz w:val="27"/>
          <w:szCs w:val="27"/>
        </w:rPr>
        <w:t>GIẢI ĐÁP PHÁP LUẬT</w:t>
      </w:r>
    </w:p>
    <w:p w14:paraId="3349C2F3" w14:textId="7431FC25" w:rsidR="006A01C5" w:rsidRPr="009269C9" w:rsidRDefault="006A01C5" w:rsidP="00FE1CE3">
      <w:pPr>
        <w:jc w:val="center"/>
        <w:rPr>
          <w:rFonts w:cs="Times New Roman"/>
          <w:b/>
          <w:sz w:val="27"/>
          <w:szCs w:val="27"/>
        </w:rPr>
      </w:pPr>
      <w:r w:rsidRPr="009269C9">
        <w:rPr>
          <w:rFonts w:cs="Times New Roman"/>
          <w:b/>
          <w:sz w:val="27"/>
          <w:szCs w:val="27"/>
        </w:rPr>
        <w:t xml:space="preserve">THÁNG </w:t>
      </w:r>
      <w:r w:rsidR="00756287" w:rsidRPr="009269C9">
        <w:rPr>
          <w:rFonts w:cs="Times New Roman"/>
          <w:b/>
          <w:sz w:val="27"/>
          <w:szCs w:val="27"/>
        </w:rPr>
        <w:t>5</w:t>
      </w:r>
      <w:r w:rsidRPr="009269C9">
        <w:rPr>
          <w:rFonts w:cs="Times New Roman"/>
          <w:b/>
          <w:sz w:val="27"/>
          <w:szCs w:val="27"/>
        </w:rPr>
        <w:t>/2023</w:t>
      </w:r>
    </w:p>
    <w:p w14:paraId="3BF4777B" w14:textId="77777777" w:rsidR="007515F5" w:rsidRPr="009269C9" w:rsidRDefault="007515F5" w:rsidP="00FE1CE3">
      <w:pPr>
        <w:rPr>
          <w:rFonts w:cs="Times New Roman"/>
          <w:sz w:val="27"/>
          <w:szCs w:val="27"/>
        </w:rPr>
      </w:pPr>
    </w:p>
    <w:p w14:paraId="2C987091" w14:textId="77777777" w:rsidR="007515F5" w:rsidRPr="009269C9" w:rsidRDefault="007515F5" w:rsidP="00FE1CE3">
      <w:pPr>
        <w:tabs>
          <w:tab w:val="left" w:pos="993"/>
          <w:tab w:val="left" w:pos="1276"/>
        </w:tabs>
        <w:ind w:firstLine="709"/>
        <w:jc w:val="right"/>
        <w:rPr>
          <w:rFonts w:cs="Times New Roman"/>
          <w:i/>
          <w:sz w:val="27"/>
          <w:szCs w:val="27"/>
        </w:rPr>
      </w:pPr>
      <w:r w:rsidRPr="009269C9">
        <w:rPr>
          <w:rFonts w:cs="Times New Roman"/>
          <w:i/>
          <w:sz w:val="27"/>
          <w:szCs w:val="27"/>
        </w:rPr>
        <w:t>Văn phòng Tư vấn pháp luật</w:t>
      </w:r>
    </w:p>
    <w:p w14:paraId="3235E715" w14:textId="1949959E" w:rsidR="009C50B9" w:rsidRPr="009269C9" w:rsidRDefault="007515F5" w:rsidP="00FE1CE3">
      <w:pPr>
        <w:ind w:firstLine="709"/>
        <w:rPr>
          <w:rFonts w:eastAsia="Times New Roman" w:cs="Times New Roman"/>
          <w:b/>
          <w:bCs/>
          <w:sz w:val="27"/>
          <w:szCs w:val="27"/>
        </w:rPr>
      </w:pPr>
      <w:r w:rsidRPr="009269C9">
        <w:rPr>
          <w:rFonts w:cs="Times New Roman"/>
          <w:sz w:val="27"/>
          <w:szCs w:val="27"/>
        </w:rPr>
        <w:tab/>
      </w:r>
      <w:r w:rsidR="009C50B9" w:rsidRPr="009269C9">
        <w:rPr>
          <w:rFonts w:eastAsia="Times New Roman" w:cs="Times New Roman"/>
          <w:b/>
          <w:bCs/>
          <w:sz w:val="27"/>
          <w:szCs w:val="27"/>
        </w:rPr>
        <w:t>Câu 1.</w:t>
      </w:r>
    </w:p>
    <w:p w14:paraId="3F56096F" w14:textId="56683442" w:rsidR="00C92364" w:rsidRPr="009269C9" w:rsidRDefault="00C92364" w:rsidP="00FE1CE3">
      <w:pPr>
        <w:ind w:firstLine="709"/>
        <w:rPr>
          <w:rFonts w:cs="Times New Roman"/>
          <w:sz w:val="27"/>
          <w:szCs w:val="27"/>
        </w:rPr>
      </w:pPr>
      <w:r w:rsidRPr="009269C9">
        <w:rPr>
          <w:rFonts w:cs="Times New Roman"/>
          <w:sz w:val="27"/>
          <w:szCs w:val="27"/>
        </w:rPr>
        <w:t>Việc bầu cử đại biểu dự đại hội, hội nghị công đoàn cấp trên được thực hiện như thế nào?</w:t>
      </w:r>
    </w:p>
    <w:p w14:paraId="5E6CA8DF" w14:textId="77777777" w:rsidR="009C50B9" w:rsidRPr="009269C9" w:rsidRDefault="009C50B9" w:rsidP="00FE1CE3">
      <w:pPr>
        <w:ind w:firstLine="720"/>
        <w:textAlignment w:val="baseline"/>
        <w:rPr>
          <w:rFonts w:eastAsia="Times New Roman" w:cs="Times New Roman"/>
          <w:i/>
          <w:sz w:val="27"/>
          <w:szCs w:val="27"/>
        </w:rPr>
      </w:pPr>
      <w:r w:rsidRPr="009269C9">
        <w:rPr>
          <w:rFonts w:eastAsia="Times New Roman" w:cs="Times New Roman"/>
          <w:b/>
          <w:i/>
          <w:sz w:val="27"/>
          <w:szCs w:val="27"/>
        </w:rPr>
        <w:t>Trả lời:</w:t>
      </w:r>
      <w:r w:rsidRPr="009269C9">
        <w:rPr>
          <w:rFonts w:eastAsia="Times New Roman" w:cs="Times New Roman"/>
          <w:i/>
          <w:sz w:val="27"/>
          <w:szCs w:val="27"/>
        </w:rPr>
        <w:t xml:space="preserve"> </w:t>
      </w:r>
    </w:p>
    <w:p w14:paraId="6938E537" w14:textId="76A9AF26" w:rsidR="00C92364" w:rsidRPr="009269C9" w:rsidRDefault="00C92364" w:rsidP="00FE1CE3">
      <w:pPr>
        <w:ind w:firstLine="720"/>
        <w:rPr>
          <w:rFonts w:cs="Times New Roman"/>
          <w:bCs/>
          <w:sz w:val="27"/>
          <w:szCs w:val="27"/>
        </w:rPr>
      </w:pPr>
      <w:r w:rsidRPr="009269C9">
        <w:rPr>
          <w:rFonts w:cs="Times New Roman"/>
          <w:bCs/>
          <w:sz w:val="27"/>
          <w:szCs w:val="27"/>
        </w:rPr>
        <w:t>Căn cứ Mục 8 Hướng dẫn số 03/HD-TLĐ ngày 20/02/2020 của Đoàn Chủ tịch Tổng Liên đoàn Lao động Việt Nam về hướng dẫn thi hành Điều lệ Công đoàn Việt Nam:</w:t>
      </w:r>
    </w:p>
    <w:p w14:paraId="127FD277" w14:textId="77777777" w:rsidR="00C92364" w:rsidRPr="009269C9" w:rsidRDefault="00C92364" w:rsidP="00FE1CE3">
      <w:pPr>
        <w:ind w:firstLine="560"/>
        <w:rPr>
          <w:rFonts w:cs="Times New Roman"/>
          <w:b/>
          <w:sz w:val="24"/>
          <w:szCs w:val="24"/>
        </w:rPr>
      </w:pPr>
      <w:r w:rsidRPr="009269C9">
        <w:rPr>
          <w:rFonts w:cs="Times New Roman"/>
          <w:b/>
          <w:sz w:val="24"/>
          <w:szCs w:val="24"/>
        </w:rPr>
        <w:t xml:space="preserve">“8. </w:t>
      </w:r>
      <w:bookmarkStart w:id="0" w:name="_Hlk121781413"/>
      <w:r w:rsidRPr="009269C9">
        <w:rPr>
          <w:rFonts w:cs="Times New Roman"/>
          <w:b/>
          <w:sz w:val="24"/>
          <w:szCs w:val="24"/>
        </w:rPr>
        <w:t xml:space="preserve">Nguyên tắc, hình thức bầu cử </w:t>
      </w:r>
      <w:bookmarkEnd w:id="0"/>
      <w:r w:rsidRPr="009269C9">
        <w:rPr>
          <w:rFonts w:cs="Times New Roman"/>
          <w:b/>
          <w:sz w:val="24"/>
          <w:szCs w:val="24"/>
        </w:rPr>
        <w:t>tại đại hội, hội nghị công đoàn theo Điều 10</w:t>
      </w:r>
    </w:p>
    <w:p w14:paraId="4CB9DC12" w14:textId="7F695692" w:rsidR="00C92364" w:rsidRPr="009269C9" w:rsidRDefault="00C92364" w:rsidP="00FE1CE3">
      <w:pPr>
        <w:ind w:firstLine="560"/>
        <w:rPr>
          <w:rFonts w:cs="Times New Roman"/>
          <w:sz w:val="27"/>
          <w:szCs w:val="27"/>
        </w:rPr>
      </w:pPr>
      <w:r w:rsidRPr="009269C9">
        <w:rPr>
          <w:rFonts w:cs="Times New Roman"/>
          <w:sz w:val="27"/>
          <w:szCs w:val="27"/>
        </w:rPr>
        <w:t>…</w:t>
      </w:r>
      <w:r w:rsidR="00756287" w:rsidRPr="009269C9">
        <w:rPr>
          <w:rFonts w:cs="Times New Roman"/>
          <w:sz w:val="27"/>
          <w:szCs w:val="27"/>
        </w:rPr>
        <w:t>……………………</w:t>
      </w:r>
    </w:p>
    <w:p w14:paraId="113C8B43" w14:textId="77777777" w:rsidR="00C92364" w:rsidRPr="009269C9" w:rsidRDefault="00C92364" w:rsidP="00FE1CE3">
      <w:pPr>
        <w:ind w:firstLine="560"/>
        <w:rPr>
          <w:rFonts w:cs="Times New Roman"/>
          <w:sz w:val="27"/>
          <w:szCs w:val="27"/>
        </w:rPr>
      </w:pPr>
      <w:r w:rsidRPr="009269C9">
        <w:rPr>
          <w:rFonts w:cs="Times New Roman"/>
          <w:sz w:val="27"/>
          <w:szCs w:val="27"/>
        </w:rPr>
        <w:t>8.8. Bầu cử đại biểu dự đại hội, hội nghị công đoàn cấp trên</w:t>
      </w:r>
    </w:p>
    <w:p w14:paraId="5AB75252" w14:textId="77777777" w:rsidR="00C92364" w:rsidRPr="009269C9" w:rsidRDefault="00C92364" w:rsidP="00FE1CE3">
      <w:pPr>
        <w:ind w:firstLine="560"/>
        <w:rPr>
          <w:rFonts w:cs="Times New Roman"/>
          <w:sz w:val="27"/>
          <w:szCs w:val="27"/>
        </w:rPr>
      </w:pPr>
      <w:r w:rsidRPr="009269C9">
        <w:rPr>
          <w:rFonts w:cs="Times New Roman"/>
          <w:sz w:val="27"/>
          <w:szCs w:val="27"/>
        </w:rPr>
        <w:t>- Số lượng đại biểu chính thức bầu dự đại hội, hội nghị công đoàn cấp trên thực hiện theo phân bổ của công đoàn cấp trên. Những công đoàn cấp trên được phân cấp phối hợp chỉ đạo hoạt động công đoàn ngành, nghề, địa phương theo quy định tại Điều 19, Điều 20 Điều lệ Công đoàn Việt Nam, do công đoàn cấp trên phân bổ (nếu cần), nhưng không quá 10% đại biểu chính thức triệu tập.</w:t>
      </w:r>
    </w:p>
    <w:p w14:paraId="45DDEA7B" w14:textId="77777777" w:rsidR="00C92364" w:rsidRPr="009269C9" w:rsidRDefault="00C92364" w:rsidP="00FE1CE3">
      <w:pPr>
        <w:ind w:firstLine="560"/>
        <w:rPr>
          <w:rFonts w:cs="Times New Roman"/>
          <w:sz w:val="27"/>
          <w:szCs w:val="27"/>
        </w:rPr>
      </w:pPr>
      <w:r w:rsidRPr="009269C9">
        <w:rPr>
          <w:rFonts w:cs="Times New Roman"/>
          <w:sz w:val="27"/>
          <w:szCs w:val="27"/>
        </w:rPr>
        <w:t>- Đại hội, hội nghị công đoàn quyết định việc bầu hoặc không bầu và số lượng bầu đại biểu dự khuyết dự đại hội, hội nghị công đoàn cấp trên.</w:t>
      </w:r>
    </w:p>
    <w:p w14:paraId="6D795097" w14:textId="77777777" w:rsidR="00C92364" w:rsidRPr="009269C9" w:rsidRDefault="00C92364" w:rsidP="00FE1CE3">
      <w:pPr>
        <w:ind w:firstLine="560"/>
        <w:rPr>
          <w:rFonts w:cs="Times New Roman"/>
          <w:sz w:val="27"/>
          <w:szCs w:val="27"/>
        </w:rPr>
      </w:pPr>
      <w:r w:rsidRPr="009269C9">
        <w:rPr>
          <w:rFonts w:cs="Times New Roman"/>
          <w:sz w:val="27"/>
          <w:szCs w:val="27"/>
        </w:rPr>
        <w:t>- Khi bầu đại biểu dự khuyết dự đại hội, hội nghị công đoàn cấp trên có thể thực hiện bằng cách chọn người có số phiếu bầu đạt quá một phần hai (1/2) liền kề với người có số phiếu thấp nhất đã trúng cử đại biểu chính thức, hoặc tổ chức bầu riêng, do đại hội, hội nghị quyết định.</w:t>
      </w:r>
    </w:p>
    <w:p w14:paraId="62159DE0" w14:textId="57993659" w:rsidR="00C92364" w:rsidRPr="009269C9" w:rsidRDefault="00C92364" w:rsidP="00FE1CE3">
      <w:pPr>
        <w:ind w:firstLine="560"/>
        <w:rPr>
          <w:rFonts w:cs="Times New Roman"/>
          <w:sz w:val="27"/>
          <w:szCs w:val="27"/>
        </w:rPr>
      </w:pPr>
      <w:r w:rsidRPr="009269C9">
        <w:rPr>
          <w:rFonts w:cs="Times New Roman"/>
          <w:sz w:val="27"/>
          <w:szCs w:val="27"/>
        </w:rPr>
        <w:t>- Việc tổ chức bầu riêng đại biểu dự khuyết dự đại hội, hội nghị công đoàn cấp trên chỉ thực hiện sau khi đã bầu đủ số lượng đại biểu chính thức theo phân bổ của công đoàn cấp trên</w:t>
      </w:r>
      <w:r w:rsidR="00756287" w:rsidRPr="009269C9">
        <w:rPr>
          <w:rFonts w:cs="Times New Roman"/>
          <w:sz w:val="27"/>
          <w:szCs w:val="27"/>
        </w:rPr>
        <w:t>”</w:t>
      </w:r>
      <w:r w:rsidRPr="009269C9">
        <w:rPr>
          <w:rFonts w:cs="Times New Roman"/>
          <w:sz w:val="27"/>
          <w:szCs w:val="27"/>
        </w:rPr>
        <w:t>.</w:t>
      </w:r>
    </w:p>
    <w:p w14:paraId="5427B42C" w14:textId="28F36FF0" w:rsidR="004D5E67" w:rsidRPr="009269C9" w:rsidRDefault="004D5E67" w:rsidP="00FE1CE3">
      <w:pPr>
        <w:ind w:firstLine="720"/>
        <w:textAlignment w:val="baseline"/>
        <w:outlineLvl w:val="0"/>
        <w:rPr>
          <w:rFonts w:eastAsia="Times New Roman" w:cs="Times New Roman"/>
          <w:b/>
          <w:bCs/>
          <w:sz w:val="27"/>
          <w:szCs w:val="27"/>
        </w:rPr>
      </w:pPr>
      <w:r w:rsidRPr="009269C9">
        <w:rPr>
          <w:rFonts w:eastAsia="Times New Roman" w:cs="Times New Roman"/>
          <w:b/>
          <w:bCs/>
          <w:sz w:val="27"/>
          <w:szCs w:val="27"/>
        </w:rPr>
        <w:t>Câu</w:t>
      </w:r>
      <w:r w:rsidR="00756287" w:rsidRPr="009269C9">
        <w:rPr>
          <w:rFonts w:eastAsia="Times New Roman" w:cs="Times New Roman"/>
          <w:b/>
          <w:bCs/>
          <w:sz w:val="27"/>
          <w:szCs w:val="27"/>
        </w:rPr>
        <w:t xml:space="preserve"> 2.</w:t>
      </w:r>
    </w:p>
    <w:p w14:paraId="1237DB72" w14:textId="77777777" w:rsidR="004D5E67" w:rsidRPr="009269C9" w:rsidRDefault="004D5E67" w:rsidP="00FE1CE3">
      <w:pPr>
        <w:ind w:firstLine="720"/>
        <w:textAlignment w:val="baseline"/>
        <w:outlineLvl w:val="0"/>
        <w:rPr>
          <w:rFonts w:eastAsia="Times New Roman" w:cs="Times New Roman"/>
          <w:bCs/>
          <w:sz w:val="27"/>
          <w:szCs w:val="27"/>
        </w:rPr>
      </w:pPr>
      <w:r w:rsidRPr="009269C9">
        <w:rPr>
          <w:rFonts w:eastAsia="Times New Roman" w:cs="Times New Roman"/>
          <w:bCs/>
          <w:sz w:val="27"/>
          <w:szCs w:val="27"/>
        </w:rPr>
        <w:t>Ủy viên UBKT công đoàn có được là đại biểu đương nhiên dự đại hội công đoàn cùng cấp hay không?</w:t>
      </w:r>
    </w:p>
    <w:p w14:paraId="52963C57" w14:textId="77777777" w:rsidR="004D5E67" w:rsidRPr="009269C9" w:rsidRDefault="004D5E67" w:rsidP="00FE1CE3">
      <w:pPr>
        <w:ind w:firstLine="720"/>
        <w:textAlignment w:val="baseline"/>
        <w:rPr>
          <w:rFonts w:eastAsia="Times New Roman" w:cs="Times New Roman"/>
          <w:i/>
          <w:sz w:val="27"/>
          <w:szCs w:val="27"/>
        </w:rPr>
      </w:pPr>
      <w:r w:rsidRPr="009269C9">
        <w:rPr>
          <w:rFonts w:eastAsia="Times New Roman" w:cs="Times New Roman"/>
          <w:b/>
          <w:i/>
          <w:sz w:val="27"/>
          <w:szCs w:val="27"/>
        </w:rPr>
        <w:t>Trả lời:</w:t>
      </w:r>
      <w:r w:rsidRPr="009269C9">
        <w:rPr>
          <w:rFonts w:eastAsia="Times New Roman" w:cs="Times New Roman"/>
          <w:i/>
          <w:sz w:val="27"/>
          <w:szCs w:val="27"/>
        </w:rPr>
        <w:t xml:space="preserve"> </w:t>
      </w:r>
    </w:p>
    <w:p w14:paraId="6895BFED" w14:textId="77777777" w:rsidR="004D5E67" w:rsidRPr="009269C9" w:rsidRDefault="004D5E67" w:rsidP="00FE1CE3">
      <w:pPr>
        <w:ind w:firstLine="720"/>
        <w:textAlignment w:val="baseline"/>
        <w:rPr>
          <w:rFonts w:eastAsia="Times New Roman" w:cs="Times New Roman"/>
          <w:bCs/>
          <w:sz w:val="27"/>
          <w:szCs w:val="27"/>
        </w:rPr>
      </w:pPr>
      <w:r w:rsidRPr="009269C9">
        <w:rPr>
          <w:rFonts w:eastAsia="Times New Roman" w:cs="Times New Roman"/>
          <w:bCs/>
          <w:sz w:val="27"/>
          <w:szCs w:val="27"/>
        </w:rPr>
        <w:t>Căn cứ Điều 31, Điều lệ Công đoàn Việt Nam quy định tại Khoản 3 “Ủy viên UBKT công đoàn được mời dự các hội nghị BCH và đại hội, hội nghị công đoàn cùng cấp, nên không là đại biểu đương nhiên dự đại hội đại biểu công đoàn cùng cấp, trừ các trường hợp sau:</w:t>
      </w:r>
    </w:p>
    <w:p w14:paraId="53F0DDA2" w14:textId="77777777" w:rsidR="004D5E67" w:rsidRPr="009269C9" w:rsidRDefault="004D5E67" w:rsidP="00FE1CE3">
      <w:pPr>
        <w:ind w:firstLine="720"/>
        <w:textAlignment w:val="baseline"/>
        <w:rPr>
          <w:rFonts w:eastAsia="Times New Roman" w:cs="Times New Roman"/>
          <w:bCs/>
          <w:sz w:val="27"/>
          <w:szCs w:val="27"/>
        </w:rPr>
      </w:pPr>
      <w:r w:rsidRPr="009269C9">
        <w:rPr>
          <w:rFonts w:eastAsia="Times New Roman" w:cs="Times New Roman"/>
          <w:bCs/>
          <w:sz w:val="27"/>
          <w:szCs w:val="27"/>
        </w:rPr>
        <w:t>- Trường hợp đại hội toàn thể: Ủy viên UBKT công đoàn đương nhiên là đại biểu chính thức của đại hội công đoàn cùng cấp (nếu đủ tư cách đại biểu).</w:t>
      </w:r>
    </w:p>
    <w:p w14:paraId="5A737754" w14:textId="77777777" w:rsidR="004D5E67" w:rsidRPr="009269C9" w:rsidRDefault="004D5E67" w:rsidP="00FE1CE3">
      <w:pPr>
        <w:ind w:firstLine="720"/>
        <w:textAlignment w:val="baseline"/>
        <w:rPr>
          <w:rFonts w:eastAsia="Times New Roman" w:cs="Times New Roman"/>
          <w:bCs/>
          <w:sz w:val="27"/>
          <w:szCs w:val="27"/>
        </w:rPr>
      </w:pPr>
      <w:r w:rsidRPr="009269C9">
        <w:rPr>
          <w:rFonts w:eastAsia="Times New Roman" w:cs="Times New Roman"/>
          <w:bCs/>
          <w:sz w:val="27"/>
          <w:szCs w:val="27"/>
        </w:rPr>
        <w:t>- Trường hợp đại hội đại biểu: Ủy viên UBKT công đoàn là đại biểu chính thức dự đại hội khi đồng thời là Ủy viên BCH công đoàn cấp triệu tập (với tư cách đương nhiệm BCH công đoàn), hoặc được đại hội, hội nghị công đoàn cấp dưới bầu là đại biểu chính thức của đại hội, hoặc được BCH khóa đương nhiệm có quyết định chỉ định là đại biểu chính thức của đại hội (theo quy định tại điểm c, Khoản 4, Điều 8, Điều lệ Công đoàn Việt Nam).</w:t>
      </w:r>
    </w:p>
    <w:p w14:paraId="1AB5A570" w14:textId="77777777" w:rsidR="004D5E67" w:rsidRPr="009269C9" w:rsidRDefault="004D5E67" w:rsidP="00FE1CE3">
      <w:pPr>
        <w:ind w:firstLine="720"/>
        <w:textAlignment w:val="baseline"/>
        <w:rPr>
          <w:rFonts w:eastAsia="Times New Roman" w:cs="Times New Roman"/>
          <w:sz w:val="27"/>
          <w:szCs w:val="27"/>
        </w:rPr>
      </w:pPr>
      <w:r w:rsidRPr="009269C9">
        <w:rPr>
          <w:rFonts w:eastAsia="Times New Roman" w:cs="Times New Roman"/>
          <w:bCs/>
          <w:sz w:val="27"/>
          <w:szCs w:val="27"/>
        </w:rPr>
        <w:t>- Nếu không thuộc các trường hợp nêu trên thì Ủy viên UBKT công đoàn được BCH công đoàn cấp triệu tập đại hội mời dự đại hội, với tư cách là đại biểu khách mời dự đại hội công đoàn cấp đó”.</w:t>
      </w:r>
    </w:p>
    <w:p w14:paraId="26029DCC" w14:textId="2A9D0BE7" w:rsidR="009C50B9" w:rsidRPr="00CE0F72" w:rsidRDefault="009C50B9" w:rsidP="00CE0F72">
      <w:pPr>
        <w:ind w:firstLine="720"/>
        <w:textAlignment w:val="baseline"/>
        <w:outlineLvl w:val="0"/>
        <w:rPr>
          <w:rFonts w:eastAsia="Times New Roman" w:cs="Times New Roman"/>
          <w:b/>
          <w:bCs/>
          <w:sz w:val="27"/>
          <w:szCs w:val="27"/>
        </w:rPr>
      </w:pPr>
      <w:r w:rsidRPr="00CE0F72">
        <w:rPr>
          <w:rFonts w:eastAsia="Times New Roman" w:cs="Times New Roman"/>
          <w:b/>
          <w:bCs/>
          <w:sz w:val="27"/>
          <w:szCs w:val="27"/>
        </w:rPr>
        <w:lastRenderedPageBreak/>
        <w:t xml:space="preserve">Câu </w:t>
      </w:r>
      <w:r w:rsidR="00756287" w:rsidRPr="00CE0F72">
        <w:rPr>
          <w:rFonts w:eastAsia="Times New Roman" w:cs="Times New Roman"/>
          <w:b/>
          <w:bCs/>
          <w:sz w:val="27"/>
          <w:szCs w:val="27"/>
        </w:rPr>
        <w:t>3</w:t>
      </w:r>
      <w:r w:rsidRPr="00CE0F72">
        <w:rPr>
          <w:rFonts w:eastAsia="Times New Roman" w:cs="Times New Roman"/>
          <w:b/>
          <w:bCs/>
          <w:sz w:val="27"/>
          <w:szCs w:val="27"/>
        </w:rPr>
        <w:t>.</w:t>
      </w:r>
    </w:p>
    <w:p w14:paraId="4D6C5507" w14:textId="00CB0C92" w:rsidR="009C50B9" w:rsidRPr="00CE0F72" w:rsidRDefault="000A6EA8" w:rsidP="00CE0F72">
      <w:pPr>
        <w:ind w:firstLine="720"/>
        <w:textAlignment w:val="baseline"/>
        <w:outlineLvl w:val="0"/>
        <w:rPr>
          <w:rFonts w:eastAsia="Times New Roman" w:cs="Times New Roman"/>
          <w:b/>
          <w:bCs/>
          <w:sz w:val="27"/>
          <w:szCs w:val="27"/>
        </w:rPr>
      </w:pPr>
      <w:r w:rsidRPr="00CE0F72">
        <w:rPr>
          <w:rFonts w:eastAsia="Times New Roman" w:cs="Times New Roman"/>
          <w:bCs/>
          <w:sz w:val="27"/>
          <w:szCs w:val="27"/>
        </w:rPr>
        <w:t xml:space="preserve">Mức lương cơ sở </w:t>
      </w:r>
      <w:r w:rsidR="00D456CA" w:rsidRPr="00CE0F72">
        <w:rPr>
          <w:rFonts w:eastAsia="Times New Roman" w:cs="Times New Roman"/>
          <w:bCs/>
          <w:sz w:val="27"/>
          <w:szCs w:val="27"/>
        </w:rPr>
        <w:t xml:space="preserve">theo </w:t>
      </w:r>
      <w:hyperlink r:id="rId7" w:tgtFrame="_blank" w:history="1">
        <w:r w:rsidR="00D456CA" w:rsidRPr="00CE0F72">
          <w:rPr>
            <w:rStyle w:val="Hyperlink"/>
            <w:rFonts w:eastAsia="Times New Roman" w:cs="Times New Roman"/>
            <w:color w:val="auto"/>
            <w:sz w:val="27"/>
            <w:szCs w:val="27"/>
            <w:u w:val="none"/>
          </w:rPr>
          <w:t>Nghị định 24/2023/NĐ-CP</w:t>
        </w:r>
      </w:hyperlink>
      <w:r w:rsidR="00D456CA" w:rsidRPr="00CE0F72">
        <w:rPr>
          <w:rFonts w:eastAsia="Times New Roman" w:cs="Times New Roman"/>
          <w:sz w:val="27"/>
          <w:szCs w:val="27"/>
        </w:rPr>
        <w:t xml:space="preserve"> ngày 14/5/2023 của Chính phủ quy định mức lương cơ sở đối với cán bộ, công chức, viên chức </w:t>
      </w:r>
      <w:r w:rsidR="00D456CA" w:rsidRPr="00CE0F72">
        <w:rPr>
          <w:sz w:val="27"/>
          <w:szCs w:val="27"/>
        </w:rPr>
        <w:t>và lực lượng vũ trang</w:t>
      </w:r>
      <w:r w:rsidR="00D456CA" w:rsidRPr="00CE0F72">
        <w:rPr>
          <w:rFonts w:eastAsia="Times New Roman" w:cs="Times New Roman"/>
          <w:bCs/>
          <w:sz w:val="27"/>
          <w:szCs w:val="27"/>
        </w:rPr>
        <w:t xml:space="preserve"> </w:t>
      </w:r>
      <w:r w:rsidR="00134F94" w:rsidRPr="00CE0F72">
        <w:rPr>
          <w:rFonts w:eastAsia="Times New Roman" w:cs="Times New Roman"/>
          <w:sz w:val="27"/>
          <w:szCs w:val="27"/>
        </w:rPr>
        <w:t xml:space="preserve">từ ngày 01/7/2023 </w:t>
      </w:r>
      <w:r w:rsidRPr="00CE0F72">
        <w:rPr>
          <w:rFonts w:eastAsia="Times New Roman" w:cs="Times New Roman"/>
          <w:bCs/>
          <w:sz w:val="27"/>
          <w:szCs w:val="27"/>
        </w:rPr>
        <w:t>là bao nhiêu?</w:t>
      </w:r>
    </w:p>
    <w:p w14:paraId="5006D70B" w14:textId="77777777" w:rsidR="009C50B9" w:rsidRPr="00CE0F72" w:rsidRDefault="009C50B9" w:rsidP="00CE0F72">
      <w:pPr>
        <w:ind w:firstLine="720"/>
        <w:textAlignment w:val="baseline"/>
        <w:rPr>
          <w:rFonts w:eastAsia="Times New Roman" w:cs="Times New Roman"/>
          <w:i/>
          <w:sz w:val="27"/>
          <w:szCs w:val="27"/>
        </w:rPr>
      </w:pPr>
      <w:r w:rsidRPr="00CE0F72">
        <w:rPr>
          <w:rFonts w:eastAsia="Times New Roman" w:cs="Times New Roman"/>
          <w:b/>
          <w:i/>
          <w:sz w:val="27"/>
          <w:szCs w:val="27"/>
        </w:rPr>
        <w:t>Trả lời:</w:t>
      </w:r>
      <w:r w:rsidRPr="00CE0F72">
        <w:rPr>
          <w:rFonts w:eastAsia="Times New Roman" w:cs="Times New Roman"/>
          <w:i/>
          <w:sz w:val="27"/>
          <w:szCs w:val="27"/>
        </w:rPr>
        <w:t xml:space="preserve"> </w:t>
      </w:r>
    </w:p>
    <w:p w14:paraId="1FE93C5F" w14:textId="4E6732E7" w:rsidR="008E3328" w:rsidRPr="00CE0F72" w:rsidRDefault="00D456CA" w:rsidP="00CE0F72">
      <w:pPr>
        <w:shd w:val="clear" w:color="auto" w:fill="FFFFFF"/>
        <w:rPr>
          <w:rFonts w:eastAsia="Times New Roman"/>
          <w:sz w:val="27"/>
          <w:szCs w:val="27"/>
        </w:rPr>
      </w:pPr>
      <w:r w:rsidRPr="00CE0F72">
        <w:rPr>
          <w:rFonts w:eastAsia="Times New Roman"/>
          <w:sz w:val="27"/>
          <w:szCs w:val="27"/>
        </w:rPr>
        <w:tab/>
      </w:r>
      <w:r w:rsidR="008E3328" w:rsidRPr="00CE0F72">
        <w:rPr>
          <w:rFonts w:eastAsia="Times New Roman"/>
          <w:sz w:val="27"/>
          <w:szCs w:val="27"/>
        </w:rPr>
        <w:t>Căn cứ Điều 3 </w:t>
      </w:r>
      <w:hyperlink r:id="rId8" w:tgtFrame="_blank" w:history="1">
        <w:r w:rsidR="008E3328" w:rsidRPr="00731B77">
          <w:rPr>
            <w:rFonts w:eastAsia="Times New Roman"/>
            <w:sz w:val="27"/>
            <w:szCs w:val="27"/>
          </w:rPr>
          <w:t>Nghị định 24/2023/NĐ-CP</w:t>
        </w:r>
      </w:hyperlink>
      <w:r w:rsidR="008E3328" w:rsidRPr="00731B77">
        <w:rPr>
          <w:rFonts w:eastAsia="Times New Roman"/>
          <w:sz w:val="27"/>
          <w:szCs w:val="27"/>
        </w:rPr>
        <w:t> </w:t>
      </w:r>
      <w:r w:rsidR="00B80E9B">
        <w:rPr>
          <w:rFonts w:eastAsia="Times New Roman"/>
          <w:sz w:val="27"/>
          <w:szCs w:val="27"/>
        </w:rPr>
        <w:t>thì m</w:t>
      </w:r>
      <w:r w:rsidR="00B80E9B" w:rsidRPr="00CE0F72">
        <w:rPr>
          <w:rFonts w:eastAsia="Times New Roman" w:cs="Times New Roman"/>
          <w:bCs/>
          <w:sz w:val="27"/>
          <w:szCs w:val="27"/>
        </w:rPr>
        <w:t xml:space="preserve">ức lương cơ sở </w:t>
      </w:r>
      <w:r w:rsidR="00B80E9B" w:rsidRPr="00CE0F72">
        <w:rPr>
          <w:rFonts w:eastAsia="Times New Roman" w:cs="Times New Roman"/>
          <w:sz w:val="27"/>
          <w:szCs w:val="27"/>
        </w:rPr>
        <w:t xml:space="preserve">từ ngày 01/7/2023 </w:t>
      </w:r>
      <w:r w:rsidR="008E3328" w:rsidRPr="00CE0F72">
        <w:rPr>
          <w:rFonts w:eastAsia="Times New Roman"/>
          <w:sz w:val="27"/>
          <w:szCs w:val="27"/>
        </w:rPr>
        <w:t>quy định như sau:</w:t>
      </w:r>
    </w:p>
    <w:p w14:paraId="7A963FE7" w14:textId="5DEA9702" w:rsidR="008E3328" w:rsidRPr="00CE0F72" w:rsidRDefault="00CE0F72" w:rsidP="00CE0F72">
      <w:pPr>
        <w:shd w:val="clear" w:color="auto" w:fill="FFFFFF"/>
        <w:rPr>
          <w:rFonts w:eastAsia="Times New Roman"/>
          <w:sz w:val="27"/>
          <w:szCs w:val="27"/>
        </w:rPr>
      </w:pPr>
      <w:r w:rsidRPr="00CE0F72">
        <w:rPr>
          <w:rFonts w:eastAsia="Times New Roman"/>
          <w:b/>
          <w:bCs/>
          <w:iCs/>
          <w:sz w:val="27"/>
          <w:szCs w:val="27"/>
        </w:rPr>
        <w:tab/>
      </w:r>
      <w:r w:rsidR="008E3328" w:rsidRPr="00CE0F72">
        <w:rPr>
          <w:rFonts w:eastAsia="Times New Roman"/>
          <w:iCs/>
          <w:sz w:val="27"/>
          <w:szCs w:val="27"/>
        </w:rPr>
        <w:t>1. Mức lương cơ sở dùng làm căn cứ:</w:t>
      </w:r>
    </w:p>
    <w:p w14:paraId="711E6F6F" w14:textId="082EFE78"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a) Tính mức lương trong các bảng lương, mức phụ cấp và thực hiện các chế độ khác theo quy định của pháp luật đối với các đối tượng quy định tại Điều 2 Nghị định này;</w:t>
      </w:r>
    </w:p>
    <w:p w14:paraId="37A5F288" w14:textId="0DE4FBAB"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b) Tính mức hoạt động phí, sinh hoạt phí theo quy định của pháp luật;</w:t>
      </w:r>
    </w:p>
    <w:p w14:paraId="745612F6" w14:textId="249779D5"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c) Tính các khoản trích và các chế độ được hưởng theo mức lương cơ sở.</w:t>
      </w:r>
    </w:p>
    <w:p w14:paraId="2522531E" w14:textId="6229A862"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2. Từ ngày 01 tháng 7 năm 2023, mức lương cơ sở là 1.800.000 đồng/tháng.</w:t>
      </w:r>
    </w:p>
    <w:p w14:paraId="30DB612B" w14:textId="732DA6CB"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3. Tiếp tục thực hiện cơ chế tài chính, thu nhập đặc thù đối với các cơ quan, đơn vị đang thực hiện các cơ chế tài chính, thu nhập đặc thù ở trung ương được cấp có thẩm quyền quy định đối với một số cơ quan, đơn vị hành chính nhà nước cho tới khi thực hiện cải cách tổng thể chính sách tiền lương theo Nghị quyết số 27-NQ/TW ngày 21 tháng 5 năm 2018 của Hội nghị lần thứ bảy Ban chấp hành Trung ương khóa XII; mức tiền lương và thu nhập tăng thêm hằng tháng tính theo mức lương cơ sở 1.800.000 đồng/tháng kể từ ngày 01 tháng 7 năm 2023 theo cơ chế đặc thù bảo đảm không vượt quá mức tiền lương và thu nhập tăng thêm bình quân năm 2022 (không bao gồm phần tiền lương và thu nhập tăng thêm do điều chỉnh hệ số tiền lương theo ngạch, bậc khi nâng bậc, nâng ngạch).</w:t>
      </w:r>
    </w:p>
    <w:p w14:paraId="6B2B7C18" w14:textId="3964A8DE" w:rsidR="008E3328" w:rsidRPr="00CE0F72" w:rsidRDefault="00CE0F72" w:rsidP="00CE0F72">
      <w:pPr>
        <w:shd w:val="clear" w:color="auto" w:fill="FFFFFF"/>
        <w:rPr>
          <w:rFonts w:eastAsia="Times New Roman"/>
          <w:sz w:val="27"/>
          <w:szCs w:val="27"/>
        </w:rPr>
      </w:pPr>
      <w:r w:rsidRPr="00CE0F72">
        <w:rPr>
          <w:rFonts w:eastAsia="Times New Roman"/>
          <w:iCs/>
          <w:sz w:val="27"/>
          <w:szCs w:val="27"/>
        </w:rPr>
        <w:tab/>
      </w:r>
      <w:r w:rsidR="008E3328" w:rsidRPr="00CE0F72">
        <w:rPr>
          <w:rFonts w:eastAsia="Times New Roman"/>
          <w:iCs/>
          <w:sz w:val="27"/>
          <w:szCs w:val="27"/>
        </w:rPr>
        <w:t>4. Chính phủ trình Quốc hội xem xét điều chỉnh mức lương cơ sở phù hợp khả năng ngân sách nhà nước, chỉ số giá tiêu dùng và tốc độ tăng trưởng kinh tế của đất nước.</w:t>
      </w:r>
    </w:p>
    <w:p w14:paraId="7E449DE0" w14:textId="66B32163" w:rsidR="008E3328" w:rsidRDefault="00CE0F72" w:rsidP="00CE0F72">
      <w:pPr>
        <w:shd w:val="clear" w:color="auto" w:fill="FFFFFF"/>
        <w:rPr>
          <w:rFonts w:eastAsia="Times New Roman" w:cs="Times New Roman"/>
          <w:sz w:val="27"/>
          <w:szCs w:val="27"/>
        </w:rPr>
      </w:pPr>
      <w:r w:rsidRPr="00CE0F72">
        <w:rPr>
          <w:rFonts w:eastAsia="Times New Roman"/>
          <w:sz w:val="27"/>
          <w:szCs w:val="27"/>
        </w:rPr>
        <w:tab/>
      </w:r>
      <w:r w:rsidR="008E3328" w:rsidRPr="00CE0F72">
        <w:rPr>
          <w:rFonts w:eastAsia="Times New Roman"/>
          <w:sz w:val="27"/>
          <w:szCs w:val="27"/>
        </w:rPr>
        <w:t xml:space="preserve">Vậy, theo như quy định trên, mức lương cơ sở mới từ ngày 01 tháng 7 năm 2023 là </w:t>
      </w:r>
      <w:r w:rsidR="008E3328" w:rsidRPr="00CE0F72">
        <w:rPr>
          <w:rFonts w:eastAsia="Times New Roman"/>
          <w:b/>
          <w:sz w:val="27"/>
          <w:szCs w:val="27"/>
        </w:rPr>
        <w:t>1.800.000 đồng/tháng</w:t>
      </w:r>
      <w:r w:rsidR="008E3328" w:rsidRPr="00CE0F72">
        <w:rPr>
          <w:rFonts w:eastAsia="Times New Roman"/>
          <w:b/>
          <w:sz w:val="27"/>
          <w:szCs w:val="27"/>
        </w:rPr>
        <w:t xml:space="preserve"> </w:t>
      </w:r>
      <w:r w:rsidR="008E3328" w:rsidRPr="00CE0F72">
        <w:rPr>
          <w:rFonts w:eastAsia="Times New Roman" w:cs="Times New Roman"/>
          <w:sz w:val="27"/>
          <w:szCs w:val="27"/>
        </w:rPr>
        <w:t xml:space="preserve">(mức lương cơ sở trước </w:t>
      </w:r>
      <w:r w:rsidR="008E3328" w:rsidRPr="00CE0F72">
        <w:rPr>
          <w:rFonts w:eastAsia="Times New Roman" w:cs="Times New Roman"/>
          <w:sz w:val="27"/>
          <w:szCs w:val="27"/>
        </w:rPr>
        <w:t>01</w:t>
      </w:r>
      <w:r w:rsidR="008E3328" w:rsidRPr="00CE0F72">
        <w:rPr>
          <w:rFonts w:eastAsia="Times New Roman" w:cs="Times New Roman"/>
          <w:sz w:val="27"/>
          <w:szCs w:val="27"/>
        </w:rPr>
        <w:t>/</w:t>
      </w:r>
      <w:r w:rsidR="008E3328" w:rsidRPr="00CE0F72">
        <w:rPr>
          <w:rFonts w:eastAsia="Times New Roman" w:cs="Times New Roman"/>
          <w:sz w:val="27"/>
          <w:szCs w:val="27"/>
        </w:rPr>
        <w:t>7</w:t>
      </w:r>
      <w:r w:rsidR="008E3328" w:rsidRPr="00CE0F72">
        <w:rPr>
          <w:rFonts w:eastAsia="Times New Roman" w:cs="Times New Roman"/>
          <w:sz w:val="27"/>
          <w:szCs w:val="27"/>
        </w:rPr>
        <w:t>/2023 là 1.490.000 đồng/tháng).</w:t>
      </w:r>
    </w:p>
    <w:p w14:paraId="51272AE4" w14:textId="3BE1E917" w:rsidR="009C50B9" w:rsidRPr="009269C9" w:rsidRDefault="009C50B9" w:rsidP="00FE1CE3">
      <w:pPr>
        <w:ind w:firstLine="720"/>
        <w:textAlignment w:val="baseline"/>
        <w:outlineLvl w:val="0"/>
        <w:rPr>
          <w:rFonts w:eastAsia="Times New Roman" w:cs="Times New Roman"/>
          <w:b/>
          <w:bCs/>
          <w:sz w:val="27"/>
          <w:szCs w:val="27"/>
        </w:rPr>
      </w:pPr>
      <w:r w:rsidRPr="009269C9">
        <w:rPr>
          <w:rFonts w:eastAsia="Times New Roman" w:cs="Times New Roman"/>
          <w:b/>
          <w:bCs/>
          <w:sz w:val="27"/>
          <w:szCs w:val="27"/>
        </w:rPr>
        <w:t>Câu</w:t>
      </w:r>
      <w:r w:rsidR="00756287" w:rsidRPr="009269C9">
        <w:rPr>
          <w:rFonts w:eastAsia="Times New Roman" w:cs="Times New Roman"/>
          <w:b/>
          <w:bCs/>
          <w:sz w:val="27"/>
          <w:szCs w:val="27"/>
        </w:rPr>
        <w:t xml:space="preserve"> 4</w:t>
      </w:r>
      <w:r w:rsidRPr="009269C9">
        <w:rPr>
          <w:rFonts w:eastAsia="Times New Roman" w:cs="Times New Roman"/>
          <w:b/>
          <w:bCs/>
          <w:sz w:val="27"/>
          <w:szCs w:val="27"/>
        </w:rPr>
        <w:t>.</w:t>
      </w:r>
    </w:p>
    <w:p w14:paraId="67985547" w14:textId="18242765" w:rsidR="00FE1CE3" w:rsidRPr="009269C9" w:rsidRDefault="00FE1CE3" w:rsidP="00FE1CE3">
      <w:pPr>
        <w:shd w:val="clear" w:color="auto" w:fill="FFFFFF"/>
        <w:outlineLvl w:val="1"/>
        <w:rPr>
          <w:rFonts w:eastAsia="Times New Roman" w:cs="Times New Roman"/>
          <w:sz w:val="27"/>
          <w:szCs w:val="27"/>
        </w:rPr>
      </w:pPr>
      <w:r w:rsidRPr="009269C9">
        <w:rPr>
          <w:rFonts w:eastAsia="Times New Roman" w:cs="Times New Roman"/>
          <w:b/>
          <w:bCs/>
          <w:sz w:val="27"/>
          <w:szCs w:val="27"/>
        </w:rPr>
        <w:tab/>
      </w:r>
      <w:r w:rsidRPr="009269C9">
        <w:rPr>
          <w:rFonts w:eastAsia="Times New Roman" w:cs="Times New Roman"/>
          <w:sz w:val="27"/>
          <w:szCs w:val="27"/>
        </w:rPr>
        <w:t>Hiện nay, m</w:t>
      </w:r>
      <w:r w:rsidRPr="009269C9">
        <w:rPr>
          <w:rFonts w:eastAsia="Times New Roman" w:cs="Times New Roman"/>
          <w:sz w:val="27"/>
          <w:szCs w:val="27"/>
        </w:rPr>
        <w:t xml:space="preserve">ức đóng BHXH bắt buộc, BHTN, BHYT </w:t>
      </w:r>
      <w:r w:rsidRPr="009269C9">
        <w:rPr>
          <w:rFonts w:eastAsia="Times New Roman" w:cs="Times New Roman"/>
          <w:sz w:val="27"/>
          <w:szCs w:val="27"/>
        </w:rPr>
        <w:t xml:space="preserve">năm 2023 đối </w:t>
      </w:r>
      <w:r w:rsidRPr="009269C9">
        <w:rPr>
          <w:rFonts w:eastAsia="Times New Roman" w:cs="Times New Roman"/>
          <w:sz w:val="27"/>
          <w:szCs w:val="27"/>
        </w:rPr>
        <w:t>với người lao động Việt Nam</w:t>
      </w:r>
      <w:r w:rsidRPr="009269C9">
        <w:rPr>
          <w:rFonts w:eastAsia="Times New Roman" w:cs="Times New Roman"/>
          <w:sz w:val="27"/>
          <w:szCs w:val="27"/>
        </w:rPr>
        <w:t xml:space="preserve"> là bao nhiêu?</w:t>
      </w:r>
    </w:p>
    <w:p w14:paraId="7027222D" w14:textId="77777777" w:rsidR="009C50B9" w:rsidRPr="009269C9" w:rsidRDefault="009C50B9" w:rsidP="00FE1CE3">
      <w:pPr>
        <w:ind w:firstLine="720"/>
        <w:textAlignment w:val="baseline"/>
        <w:rPr>
          <w:rFonts w:eastAsia="Times New Roman" w:cs="Times New Roman"/>
          <w:i/>
          <w:sz w:val="27"/>
          <w:szCs w:val="27"/>
        </w:rPr>
      </w:pPr>
      <w:r w:rsidRPr="009269C9">
        <w:rPr>
          <w:rFonts w:eastAsia="Times New Roman" w:cs="Times New Roman"/>
          <w:b/>
          <w:i/>
          <w:sz w:val="27"/>
          <w:szCs w:val="27"/>
        </w:rPr>
        <w:t>Trả lời:</w:t>
      </w:r>
      <w:r w:rsidRPr="009269C9">
        <w:rPr>
          <w:rFonts w:eastAsia="Times New Roman" w:cs="Times New Roman"/>
          <w:i/>
          <w:sz w:val="27"/>
          <w:szCs w:val="27"/>
        </w:rPr>
        <w:t xml:space="preserve"> </w:t>
      </w:r>
    </w:p>
    <w:p w14:paraId="6CB62E81" w14:textId="47DACEFA" w:rsidR="00FE1CE3" w:rsidRPr="009269C9" w:rsidRDefault="00FE1CE3" w:rsidP="00FE1CE3">
      <w:pPr>
        <w:shd w:val="clear" w:color="auto" w:fill="FFFFFF"/>
        <w:outlineLvl w:val="1"/>
        <w:rPr>
          <w:rFonts w:eastAsia="Times New Roman" w:cs="Times New Roman"/>
          <w:sz w:val="27"/>
          <w:szCs w:val="27"/>
        </w:rPr>
      </w:pPr>
      <w:r w:rsidRPr="009269C9">
        <w:rPr>
          <w:rFonts w:eastAsia="Times New Roman" w:cs="Times New Roman"/>
          <w:b/>
          <w:bCs/>
          <w:sz w:val="27"/>
          <w:szCs w:val="27"/>
        </w:rPr>
        <w:tab/>
      </w:r>
      <w:r w:rsidRPr="009269C9">
        <w:rPr>
          <w:rFonts w:eastAsia="Times New Roman" w:cs="Times New Roman"/>
          <w:sz w:val="27"/>
          <w:szCs w:val="27"/>
        </w:rPr>
        <w:t>Mức đóng BHXH bắt buộc 2023, mức đóng BHTN 2023, mức đóng BHYT 2023 với người lao động Việt Nam như sau:</w:t>
      </w:r>
    </w:p>
    <w:p w14:paraId="304336B2" w14:textId="77777777" w:rsidR="00FE1CE3" w:rsidRPr="009269C9" w:rsidRDefault="00FE1CE3" w:rsidP="00FE1CE3">
      <w:pPr>
        <w:shd w:val="clear" w:color="auto" w:fill="FFFFFF"/>
        <w:outlineLvl w:val="1"/>
        <w:rPr>
          <w:rFonts w:eastAsia="Times New Roman" w:cs="Times New Roman"/>
          <w:sz w:val="27"/>
          <w:szCs w:val="27"/>
        </w:rPr>
      </w:pP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90"/>
        <w:gridCol w:w="1177"/>
        <w:gridCol w:w="834"/>
        <w:gridCol w:w="750"/>
        <w:gridCol w:w="709"/>
        <w:gridCol w:w="851"/>
        <w:gridCol w:w="1417"/>
        <w:gridCol w:w="992"/>
        <w:gridCol w:w="1134"/>
      </w:tblGrid>
      <w:tr w:rsidR="009269C9" w:rsidRPr="009269C9" w14:paraId="35B10745" w14:textId="77777777" w:rsidTr="00FE1CE3">
        <w:trPr>
          <w:trHeight w:val="405"/>
        </w:trPr>
        <w:tc>
          <w:tcPr>
            <w:tcW w:w="3961" w:type="dxa"/>
            <w:gridSpan w:val="5"/>
            <w:tcBorders>
              <w:top w:val="outset" w:sz="6" w:space="0" w:color="auto"/>
              <w:left w:val="outset" w:sz="6" w:space="0" w:color="auto"/>
              <w:bottom w:val="outset" w:sz="6" w:space="0" w:color="auto"/>
              <w:right w:val="outset" w:sz="6" w:space="0" w:color="auto"/>
            </w:tcBorders>
            <w:shd w:val="clear" w:color="auto" w:fill="FFCCCC"/>
            <w:vAlign w:val="center"/>
            <w:hideMark/>
          </w:tcPr>
          <w:p w14:paraId="2422F198" w14:textId="77777777" w:rsidR="00FE1CE3" w:rsidRPr="009269C9" w:rsidRDefault="00FE1CE3" w:rsidP="00FE1CE3">
            <w:pPr>
              <w:jc w:val="center"/>
              <w:rPr>
                <w:rFonts w:eastAsia="Times New Roman" w:cs="Times New Roman"/>
                <w:sz w:val="27"/>
                <w:szCs w:val="27"/>
              </w:rPr>
            </w:pPr>
            <w:r w:rsidRPr="009269C9">
              <w:rPr>
                <w:rFonts w:eastAsia="Times New Roman" w:cs="Times New Roman"/>
                <w:b/>
                <w:bCs/>
                <w:sz w:val="27"/>
                <w:szCs w:val="27"/>
              </w:rPr>
              <w:t>Người sử dụng lao động</w:t>
            </w:r>
          </w:p>
        </w:tc>
        <w:tc>
          <w:tcPr>
            <w:tcW w:w="5103" w:type="dxa"/>
            <w:gridSpan w:val="5"/>
            <w:tcBorders>
              <w:top w:val="outset" w:sz="6" w:space="0" w:color="auto"/>
              <w:left w:val="outset" w:sz="6" w:space="0" w:color="auto"/>
              <w:bottom w:val="outset" w:sz="6" w:space="0" w:color="auto"/>
              <w:right w:val="outset" w:sz="6" w:space="0" w:color="auto"/>
            </w:tcBorders>
            <w:shd w:val="clear" w:color="auto" w:fill="FFCCCC"/>
            <w:vAlign w:val="center"/>
            <w:hideMark/>
          </w:tcPr>
          <w:p w14:paraId="6B9B08E4" w14:textId="77777777" w:rsidR="00FE1CE3" w:rsidRPr="009269C9" w:rsidRDefault="00FE1CE3" w:rsidP="00FE1CE3">
            <w:pPr>
              <w:jc w:val="center"/>
              <w:rPr>
                <w:rFonts w:eastAsia="Times New Roman" w:cs="Times New Roman"/>
                <w:sz w:val="27"/>
                <w:szCs w:val="27"/>
              </w:rPr>
            </w:pPr>
            <w:r w:rsidRPr="009269C9">
              <w:rPr>
                <w:rFonts w:eastAsia="Times New Roman" w:cs="Times New Roman"/>
                <w:b/>
                <w:bCs/>
                <w:sz w:val="27"/>
                <w:szCs w:val="27"/>
              </w:rPr>
              <w:t>Người lao động</w:t>
            </w:r>
          </w:p>
        </w:tc>
      </w:tr>
      <w:tr w:rsidR="009269C9" w:rsidRPr="009269C9" w14:paraId="232EF8A6" w14:textId="77777777" w:rsidTr="00FE1CE3">
        <w:trPr>
          <w:trHeight w:val="405"/>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370A008"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BHXH</w:t>
            </w:r>
          </w:p>
        </w:tc>
        <w:tc>
          <w:tcPr>
            <w:tcW w:w="8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B8350F"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BHTN</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D87EB5"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BHYT</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F819BC7"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BHXH</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41F9B6"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BHTN</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157B7C"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BHYT</w:t>
            </w:r>
          </w:p>
        </w:tc>
      </w:tr>
      <w:tr w:rsidR="009269C9" w:rsidRPr="009269C9" w14:paraId="1252AF7B" w14:textId="77777777" w:rsidTr="00FE1CE3">
        <w:trPr>
          <w:trHeight w:val="63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5BF69"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8D0771"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ÔĐ-TS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37443"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TNLĐ-BNN</w:t>
            </w:r>
          </w:p>
        </w:tc>
        <w:tc>
          <w:tcPr>
            <w:tcW w:w="8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6FEBA1" w14:textId="77777777" w:rsidR="00FE1CE3" w:rsidRPr="009269C9" w:rsidRDefault="00FE1CE3" w:rsidP="00FE1CE3">
            <w:pPr>
              <w:rPr>
                <w:rFonts w:eastAsia="Times New Roman" w:cs="Times New Roman"/>
                <w:sz w:val="27"/>
                <w:szCs w:val="27"/>
              </w:rPr>
            </w:pPr>
          </w:p>
        </w:tc>
        <w:tc>
          <w:tcPr>
            <w:tcW w:w="7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AF6FA7" w14:textId="77777777" w:rsidR="00FE1CE3" w:rsidRPr="009269C9" w:rsidRDefault="00FE1CE3" w:rsidP="00FE1CE3">
            <w:pPr>
              <w:rPr>
                <w:rFonts w:eastAsia="Times New Roman" w:cs="Times New Roman"/>
                <w:sz w:val="27"/>
                <w:szCs w:val="27"/>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5B56A6"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HT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7F73E"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ÔĐ-TS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4F6AA"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TNLĐ-BNN</w:t>
            </w: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27BC3C" w14:textId="77777777" w:rsidR="00FE1CE3" w:rsidRPr="009269C9" w:rsidRDefault="00FE1CE3" w:rsidP="00FE1CE3">
            <w:pPr>
              <w:rPr>
                <w:rFonts w:eastAsia="Times New Roman" w:cs="Times New Roman"/>
                <w:sz w:val="27"/>
                <w:szCs w:val="27"/>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D39E3" w14:textId="77777777" w:rsidR="00FE1CE3" w:rsidRPr="009269C9" w:rsidRDefault="00FE1CE3" w:rsidP="00FE1CE3">
            <w:pPr>
              <w:rPr>
                <w:rFonts w:eastAsia="Times New Roman" w:cs="Times New Roman"/>
                <w:sz w:val="27"/>
                <w:szCs w:val="27"/>
              </w:rPr>
            </w:pPr>
          </w:p>
        </w:tc>
      </w:tr>
      <w:tr w:rsidR="009269C9" w:rsidRPr="009269C9" w14:paraId="726712D4" w14:textId="77777777" w:rsidTr="00FE1CE3">
        <w:trPr>
          <w:trHeight w:val="40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22B876"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0B31E1"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54242"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0,5%</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B9652"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2B868"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947EB"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8EFEB"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8D347"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E1A85"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C1DFC" w14:textId="77777777" w:rsidR="00FE1CE3" w:rsidRPr="009269C9" w:rsidRDefault="00FE1CE3" w:rsidP="00FE1CE3">
            <w:pPr>
              <w:jc w:val="center"/>
              <w:rPr>
                <w:rFonts w:eastAsia="Times New Roman" w:cs="Times New Roman"/>
                <w:sz w:val="27"/>
                <w:szCs w:val="27"/>
              </w:rPr>
            </w:pPr>
            <w:r w:rsidRPr="009269C9">
              <w:rPr>
                <w:rFonts w:eastAsia="Times New Roman" w:cs="Times New Roman"/>
                <w:sz w:val="27"/>
                <w:szCs w:val="27"/>
              </w:rPr>
              <w:t>1.5%</w:t>
            </w:r>
          </w:p>
        </w:tc>
      </w:tr>
      <w:tr w:rsidR="009269C9" w:rsidRPr="009269C9" w14:paraId="12FC6E8F" w14:textId="77777777" w:rsidTr="00FE1CE3">
        <w:trPr>
          <w:trHeight w:val="405"/>
        </w:trPr>
        <w:tc>
          <w:tcPr>
            <w:tcW w:w="396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74A3763" w14:textId="77777777" w:rsidR="00FE1CE3" w:rsidRPr="009269C9" w:rsidRDefault="00FE1CE3" w:rsidP="00FE1CE3">
            <w:pPr>
              <w:jc w:val="center"/>
              <w:rPr>
                <w:rFonts w:eastAsia="Times New Roman" w:cs="Times New Roman"/>
                <w:sz w:val="27"/>
                <w:szCs w:val="27"/>
              </w:rPr>
            </w:pPr>
            <w:r w:rsidRPr="009269C9">
              <w:rPr>
                <w:rFonts w:eastAsia="Times New Roman" w:cs="Times New Roman"/>
                <w:b/>
                <w:bCs/>
                <w:sz w:val="27"/>
                <w:szCs w:val="27"/>
              </w:rPr>
              <w:t>21,5%</w:t>
            </w:r>
          </w:p>
        </w:tc>
        <w:tc>
          <w:tcPr>
            <w:tcW w:w="510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53BD237" w14:textId="77777777" w:rsidR="00FE1CE3" w:rsidRPr="009269C9" w:rsidRDefault="00FE1CE3" w:rsidP="00FE1CE3">
            <w:pPr>
              <w:jc w:val="center"/>
              <w:rPr>
                <w:rFonts w:eastAsia="Times New Roman" w:cs="Times New Roman"/>
                <w:sz w:val="27"/>
                <w:szCs w:val="27"/>
              </w:rPr>
            </w:pPr>
            <w:r w:rsidRPr="009269C9">
              <w:rPr>
                <w:rFonts w:eastAsia="Times New Roman" w:cs="Times New Roman"/>
                <w:b/>
                <w:bCs/>
                <w:sz w:val="27"/>
                <w:szCs w:val="27"/>
              </w:rPr>
              <w:t>10.5%</w:t>
            </w:r>
          </w:p>
        </w:tc>
      </w:tr>
      <w:tr w:rsidR="009269C9" w:rsidRPr="009269C9" w14:paraId="62A8960A" w14:textId="77777777" w:rsidTr="00FE1CE3">
        <w:trPr>
          <w:trHeight w:val="405"/>
        </w:trPr>
        <w:tc>
          <w:tcPr>
            <w:tcW w:w="9064"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792A310C" w14:textId="77777777" w:rsidR="00FE1CE3" w:rsidRPr="009269C9" w:rsidRDefault="00FE1CE3" w:rsidP="00FE1CE3">
            <w:pPr>
              <w:jc w:val="center"/>
              <w:rPr>
                <w:rFonts w:eastAsia="Times New Roman" w:cs="Times New Roman"/>
                <w:sz w:val="27"/>
                <w:szCs w:val="27"/>
              </w:rPr>
            </w:pPr>
            <w:r w:rsidRPr="009269C9">
              <w:rPr>
                <w:rFonts w:eastAsia="Times New Roman" w:cs="Times New Roman"/>
                <w:b/>
                <w:bCs/>
                <w:sz w:val="27"/>
                <w:szCs w:val="27"/>
              </w:rPr>
              <w:t>Tổng cộng 32%</w:t>
            </w:r>
          </w:p>
        </w:tc>
      </w:tr>
    </w:tbl>
    <w:p w14:paraId="5D92A466" w14:textId="77777777" w:rsidR="00FE1CE3" w:rsidRPr="009269C9" w:rsidRDefault="00FE1CE3" w:rsidP="00FE1CE3">
      <w:pPr>
        <w:shd w:val="clear" w:color="auto" w:fill="FFFFFF"/>
        <w:rPr>
          <w:rFonts w:eastAsia="Times New Roman" w:cs="Times New Roman"/>
          <w:sz w:val="27"/>
          <w:szCs w:val="27"/>
        </w:rPr>
      </w:pPr>
    </w:p>
    <w:p w14:paraId="7890E10F" w14:textId="5DB9C787" w:rsidR="00FE1CE3" w:rsidRPr="009269C9" w:rsidRDefault="00FE1CE3" w:rsidP="00FE1CE3">
      <w:pPr>
        <w:shd w:val="clear" w:color="auto" w:fill="FFFFFF"/>
        <w:rPr>
          <w:rFonts w:eastAsia="Times New Roman" w:cs="Times New Roman"/>
          <w:sz w:val="27"/>
          <w:szCs w:val="27"/>
        </w:rPr>
      </w:pPr>
      <w:r w:rsidRPr="009269C9">
        <w:rPr>
          <w:rFonts w:eastAsia="Times New Roman" w:cs="Times New Roman"/>
          <w:sz w:val="27"/>
          <w:szCs w:val="27"/>
        </w:rPr>
        <w:lastRenderedPageBreak/>
        <w:tab/>
      </w:r>
      <w:r w:rsidRPr="009269C9">
        <w:rPr>
          <w:rFonts w:eastAsia="Times New Roman" w:cs="Times New Roman"/>
          <w:sz w:val="27"/>
          <w:szCs w:val="27"/>
        </w:rPr>
        <w:t>Riêng đối với doanh nghiệp hoạt động trong các ngành nghề có nguy cơ cao về TNLĐ-BNN, nếu đủ điều kiện, có văn bản đề nghị và được Bộ LĐ-TB&amp;XH chấp thuận thì được đóng vào quỹ TNLĐ-BNN với mức thấp hơn là (0.3%).</w:t>
      </w:r>
    </w:p>
    <w:p w14:paraId="2CD1F386" w14:textId="75A9A344" w:rsidR="009C50B9" w:rsidRPr="009269C9" w:rsidRDefault="009C50B9" w:rsidP="002A07C8">
      <w:pPr>
        <w:ind w:firstLine="720"/>
        <w:textAlignment w:val="baseline"/>
        <w:outlineLvl w:val="0"/>
        <w:rPr>
          <w:rFonts w:eastAsia="Times New Roman" w:cs="Times New Roman"/>
          <w:b/>
          <w:bCs/>
          <w:sz w:val="27"/>
          <w:szCs w:val="27"/>
        </w:rPr>
      </w:pPr>
      <w:r w:rsidRPr="009269C9">
        <w:rPr>
          <w:rFonts w:eastAsia="Times New Roman" w:cs="Times New Roman"/>
          <w:b/>
          <w:bCs/>
          <w:sz w:val="27"/>
          <w:szCs w:val="27"/>
        </w:rPr>
        <w:t xml:space="preserve">Câu </w:t>
      </w:r>
      <w:r w:rsidR="00756287" w:rsidRPr="009269C9">
        <w:rPr>
          <w:rFonts w:eastAsia="Times New Roman" w:cs="Times New Roman"/>
          <w:b/>
          <w:bCs/>
          <w:sz w:val="27"/>
          <w:szCs w:val="27"/>
        </w:rPr>
        <w:t>5</w:t>
      </w:r>
      <w:r w:rsidRPr="009269C9">
        <w:rPr>
          <w:rFonts w:eastAsia="Times New Roman" w:cs="Times New Roman"/>
          <w:b/>
          <w:bCs/>
          <w:sz w:val="27"/>
          <w:szCs w:val="27"/>
        </w:rPr>
        <w:t>.</w:t>
      </w:r>
    </w:p>
    <w:p w14:paraId="0D78348C" w14:textId="3AC21091" w:rsidR="009C50B9" w:rsidRPr="009269C9" w:rsidRDefault="002A07C8" w:rsidP="002A07C8">
      <w:pPr>
        <w:ind w:firstLine="720"/>
        <w:textAlignment w:val="baseline"/>
        <w:outlineLvl w:val="0"/>
        <w:rPr>
          <w:rFonts w:eastAsia="Times New Roman" w:cs="Times New Roman"/>
          <w:sz w:val="27"/>
          <w:szCs w:val="27"/>
        </w:rPr>
      </w:pPr>
      <w:r w:rsidRPr="009269C9">
        <w:rPr>
          <w:rFonts w:eastAsia="Times New Roman" w:cs="Times New Roman"/>
          <w:sz w:val="27"/>
          <w:szCs w:val="27"/>
        </w:rPr>
        <w:t>Tiền lương đóng BHXH bắt buộc tối đa năm 2023</w:t>
      </w:r>
      <w:r w:rsidRPr="009269C9">
        <w:rPr>
          <w:rFonts w:eastAsia="Times New Roman" w:cs="Times New Roman"/>
          <w:sz w:val="27"/>
          <w:szCs w:val="27"/>
        </w:rPr>
        <w:t xml:space="preserve"> là bao nhiêu?</w:t>
      </w:r>
    </w:p>
    <w:p w14:paraId="1AD2996B" w14:textId="70751D5C" w:rsidR="002A07C8" w:rsidRPr="009269C9" w:rsidRDefault="009C50B9" w:rsidP="002A07C8">
      <w:pPr>
        <w:ind w:firstLine="720"/>
        <w:textAlignment w:val="baseline"/>
        <w:rPr>
          <w:rFonts w:eastAsia="Times New Roman" w:cs="Times New Roman"/>
          <w:i/>
          <w:sz w:val="27"/>
          <w:szCs w:val="27"/>
        </w:rPr>
      </w:pPr>
      <w:r w:rsidRPr="009269C9">
        <w:rPr>
          <w:rFonts w:eastAsia="Times New Roman" w:cs="Times New Roman"/>
          <w:b/>
          <w:i/>
          <w:sz w:val="27"/>
          <w:szCs w:val="27"/>
        </w:rPr>
        <w:t>Trả lời:</w:t>
      </w:r>
      <w:r w:rsidRPr="009269C9">
        <w:rPr>
          <w:rFonts w:eastAsia="Times New Roman" w:cs="Times New Roman"/>
          <w:i/>
          <w:sz w:val="27"/>
          <w:szCs w:val="27"/>
        </w:rPr>
        <w:t xml:space="preserve"> </w:t>
      </w:r>
      <w:r w:rsidR="002A07C8" w:rsidRPr="009269C9">
        <w:rPr>
          <w:rFonts w:eastAsia="Times New Roman" w:cs="Times New Roman"/>
          <w:b/>
          <w:bCs/>
          <w:sz w:val="27"/>
          <w:szCs w:val="27"/>
        </w:rPr>
        <w:t xml:space="preserve"> </w:t>
      </w:r>
    </w:p>
    <w:p w14:paraId="1C544C2E" w14:textId="57F446EF"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b/>
          <w:bCs/>
          <w:i/>
          <w:iCs/>
          <w:sz w:val="27"/>
          <w:szCs w:val="27"/>
        </w:rPr>
        <w:tab/>
      </w:r>
      <w:r w:rsidRPr="009269C9">
        <w:rPr>
          <w:rFonts w:eastAsia="Times New Roman" w:cs="Times New Roman"/>
          <w:b/>
          <w:bCs/>
          <w:i/>
          <w:iCs/>
          <w:sz w:val="27"/>
          <w:szCs w:val="27"/>
        </w:rPr>
        <w:t>* Tiền lương đóng BHXH bắt buộc tối đa từ 01/01/2023 đến 30/6/2023</w:t>
      </w:r>
    </w:p>
    <w:p w14:paraId="68FB3DED" w14:textId="51522A0C"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Theo quy định tại khoản 3 Điều 89 </w:t>
      </w:r>
      <w:hyperlink r:id="rId9" w:tgtFrame="_blank" w:history="1">
        <w:r w:rsidRPr="009269C9">
          <w:rPr>
            <w:rFonts w:eastAsia="Times New Roman" w:cs="Times New Roman"/>
            <w:sz w:val="27"/>
            <w:szCs w:val="27"/>
          </w:rPr>
          <w:t>Luật Bảo hiểm xã hội 2014</w:t>
        </w:r>
      </w:hyperlink>
      <w:r w:rsidRPr="009269C9">
        <w:rPr>
          <w:rFonts w:eastAsia="Times New Roman" w:cs="Times New Roman"/>
          <w:sz w:val="27"/>
          <w:szCs w:val="27"/>
        </w:rPr>
        <w:t>, tiền lương tháng đóng bảo hiểm xã hội bằng 20 lần mức lương cơ sở.</w:t>
      </w:r>
    </w:p>
    <w:p w14:paraId="0983964D" w14:textId="742562FB"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Mức lương cơ sở hiện hành là 1.490.000 đồng (theo </w:t>
      </w:r>
      <w:hyperlink r:id="rId10" w:tgtFrame="_blank" w:history="1">
        <w:r w:rsidRPr="009269C9">
          <w:rPr>
            <w:rFonts w:eastAsia="Times New Roman" w:cs="Times New Roman"/>
            <w:sz w:val="27"/>
            <w:szCs w:val="27"/>
          </w:rPr>
          <w:t>Nghị định 38/2019/NĐ-CP</w:t>
        </w:r>
      </w:hyperlink>
      <w:r w:rsidRPr="009269C9">
        <w:rPr>
          <w:rFonts w:eastAsia="Times New Roman" w:cs="Times New Roman"/>
          <w:sz w:val="27"/>
          <w:szCs w:val="27"/>
        </w:rPr>
        <w:t>)</w:t>
      </w:r>
      <w:r w:rsidRPr="009269C9">
        <w:rPr>
          <w:rFonts w:eastAsia="Times New Roman" w:cs="Times New Roman"/>
          <w:sz w:val="27"/>
          <w:szCs w:val="27"/>
        </w:rPr>
        <w:t>.</w:t>
      </w:r>
    </w:p>
    <w:p w14:paraId="1829BC5A" w14:textId="595335F6"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Như vậy, lương đóng BHXH bắt buộc tối đa từ ngày 01/01/2023 đến ngày 30/6/2023 là 29.800.000 đồng/tháng.</w:t>
      </w:r>
    </w:p>
    <w:p w14:paraId="142B7AE6" w14:textId="684A0517"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b/>
          <w:bCs/>
          <w:i/>
          <w:iCs/>
          <w:sz w:val="27"/>
          <w:szCs w:val="27"/>
        </w:rPr>
        <w:tab/>
      </w:r>
      <w:r w:rsidRPr="009269C9">
        <w:rPr>
          <w:rFonts w:eastAsia="Times New Roman" w:cs="Times New Roman"/>
          <w:b/>
          <w:bCs/>
          <w:i/>
          <w:iCs/>
          <w:sz w:val="27"/>
          <w:szCs w:val="27"/>
        </w:rPr>
        <w:t>* Tiền lương đóng BHXH bắt buộc tối đa từ 01/7/2023:</w:t>
      </w:r>
    </w:p>
    <w:p w14:paraId="631697DA" w14:textId="7AB244AE"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Ngày 11/11/2022, Quốc hội thông qua </w:t>
      </w:r>
      <w:hyperlink r:id="rId11" w:tgtFrame="_blank" w:history="1">
        <w:r w:rsidRPr="009269C9">
          <w:rPr>
            <w:rFonts w:eastAsia="Times New Roman" w:cs="Times New Roman"/>
            <w:sz w:val="27"/>
            <w:szCs w:val="27"/>
          </w:rPr>
          <w:t>Nghị quyết 69/2022/QH15</w:t>
        </w:r>
      </w:hyperlink>
      <w:r w:rsidRPr="009269C9">
        <w:rPr>
          <w:rFonts w:eastAsia="Times New Roman" w:cs="Times New Roman"/>
          <w:sz w:val="27"/>
          <w:szCs w:val="27"/>
        </w:rPr>
        <w:t> về dự toán ngân sách nhà nước năm 2023.</w:t>
      </w:r>
    </w:p>
    <w:p w14:paraId="74CC7F47" w14:textId="2401B4AF"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Theo đó, tăng lương cơ sở lên 1.800.000 triệu đồng/tháng (tăng 20,8% so với mức lương cơ sở hiện hành).</w:t>
      </w:r>
    </w:p>
    <w:p w14:paraId="643BB503" w14:textId="707D5F95" w:rsidR="002A07C8" w:rsidRPr="009269C9" w:rsidRDefault="002A07C8" w:rsidP="002A07C8">
      <w:pPr>
        <w:shd w:val="clear" w:color="auto" w:fill="FFFFFF"/>
        <w:rPr>
          <w:rFonts w:eastAsia="Times New Roman" w:cs="Times New Roman"/>
          <w:sz w:val="27"/>
          <w:szCs w:val="27"/>
        </w:rPr>
      </w:pPr>
      <w:r w:rsidRPr="009269C9">
        <w:rPr>
          <w:rFonts w:eastAsia="Times New Roman" w:cs="Times New Roman"/>
          <w:sz w:val="27"/>
          <w:szCs w:val="27"/>
        </w:rPr>
        <w:tab/>
      </w:r>
      <w:r w:rsidRPr="009269C9">
        <w:rPr>
          <w:rFonts w:eastAsia="Times New Roman" w:cs="Times New Roman"/>
          <w:sz w:val="27"/>
          <w:szCs w:val="27"/>
        </w:rPr>
        <w:t>Theo quy định tại khoản 3 Điều 89 </w:t>
      </w:r>
      <w:hyperlink r:id="rId12" w:tgtFrame="_blank" w:history="1">
        <w:r w:rsidRPr="009269C9">
          <w:rPr>
            <w:rFonts w:eastAsia="Times New Roman" w:cs="Times New Roman"/>
            <w:sz w:val="27"/>
            <w:szCs w:val="27"/>
          </w:rPr>
          <w:t>Luật Bảo hiểm xã hội 2014</w:t>
        </w:r>
      </w:hyperlink>
      <w:r w:rsidRPr="009269C9">
        <w:rPr>
          <w:rFonts w:eastAsia="Times New Roman" w:cs="Times New Roman"/>
          <w:sz w:val="27"/>
          <w:szCs w:val="27"/>
        </w:rPr>
        <w:t>, tiền lương tháng đóng bảo hiểm xã hội bằng 20 lần mức lương cơ sở.</w:t>
      </w:r>
    </w:p>
    <w:p w14:paraId="619C156C" w14:textId="14C8D84F" w:rsidR="002A07C8" w:rsidRPr="009269C9" w:rsidRDefault="002A07C8" w:rsidP="002A07C8">
      <w:pPr>
        <w:shd w:val="clear" w:color="auto" w:fill="FFFFFF"/>
        <w:rPr>
          <w:rFonts w:eastAsia="Times New Roman" w:cs="Times New Roman"/>
          <w:color w:val="FF0000"/>
          <w:sz w:val="27"/>
          <w:szCs w:val="27"/>
        </w:rPr>
      </w:pPr>
      <w:r w:rsidRPr="009269C9">
        <w:rPr>
          <w:rFonts w:eastAsia="Times New Roman" w:cs="Times New Roman"/>
          <w:sz w:val="27"/>
          <w:szCs w:val="27"/>
        </w:rPr>
        <w:tab/>
      </w:r>
      <w:r w:rsidRPr="009269C9">
        <w:rPr>
          <w:rFonts w:eastAsia="Times New Roman" w:cs="Times New Roman"/>
          <w:sz w:val="27"/>
          <w:szCs w:val="27"/>
        </w:rPr>
        <w:t xml:space="preserve">Như vậy, lương đóng BHXH bắt buộc tối đa từ ngày 01/7/2023 là </w:t>
      </w:r>
      <w:r w:rsidRPr="009269C9">
        <w:rPr>
          <w:rFonts w:eastAsia="Times New Roman" w:cs="Times New Roman"/>
          <w:b/>
          <w:bCs/>
          <w:i/>
          <w:iCs/>
          <w:color w:val="FF0000"/>
          <w:sz w:val="27"/>
          <w:szCs w:val="27"/>
        </w:rPr>
        <w:t>36.000.000 đồng.</w:t>
      </w:r>
    </w:p>
    <w:p w14:paraId="166162B9" w14:textId="77777777" w:rsidR="009C50B9" w:rsidRPr="009269C9" w:rsidRDefault="009C50B9" w:rsidP="002A07C8">
      <w:pPr>
        <w:ind w:firstLine="720"/>
        <w:textAlignment w:val="baseline"/>
        <w:rPr>
          <w:rFonts w:eastAsia="Times New Roman" w:cs="Times New Roman"/>
          <w:i/>
          <w:sz w:val="27"/>
          <w:szCs w:val="27"/>
        </w:rPr>
      </w:pPr>
    </w:p>
    <w:sectPr w:rsidR="009C50B9" w:rsidRPr="009269C9" w:rsidSect="00D82567">
      <w:footerReference w:type="default" r:id="rId13"/>
      <w:pgSz w:w="11907" w:h="16839" w:code="9"/>
      <w:pgMar w:top="1134" w:right="1134" w:bottom="1134" w:left="1701"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643E" w14:textId="77777777" w:rsidR="00FE23A7" w:rsidRDefault="00FE23A7" w:rsidP="0026414F">
      <w:r>
        <w:separator/>
      </w:r>
    </w:p>
  </w:endnote>
  <w:endnote w:type="continuationSeparator" w:id="0">
    <w:p w14:paraId="2598A519" w14:textId="77777777" w:rsidR="00FE23A7" w:rsidRDefault="00FE23A7" w:rsidP="0026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9555" w14:textId="77777777" w:rsidR="003D6E4F" w:rsidRPr="00131B78" w:rsidRDefault="003D6E4F">
    <w:pPr>
      <w:pStyle w:val="Footer"/>
      <w:tabs>
        <w:tab w:val="clear" w:pos="4680"/>
        <w:tab w:val="clear" w:pos="9360"/>
      </w:tabs>
      <w:jc w:val="center"/>
      <w:rPr>
        <w:caps/>
        <w:noProof/>
        <w:color w:val="4F81BD" w:themeColor="accent1"/>
        <w:sz w:val="20"/>
        <w:szCs w:val="20"/>
      </w:rPr>
    </w:pPr>
    <w:r w:rsidRPr="00131B78">
      <w:rPr>
        <w:caps/>
        <w:color w:val="4F81BD" w:themeColor="accent1"/>
        <w:sz w:val="20"/>
        <w:szCs w:val="20"/>
      </w:rPr>
      <w:fldChar w:fldCharType="begin"/>
    </w:r>
    <w:r w:rsidRPr="00131B78">
      <w:rPr>
        <w:caps/>
        <w:color w:val="4F81BD" w:themeColor="accent1"/>
        <w:sz w:val="20"/>
        <w:szCs w:val="20"/>
      </w:rPr>
      <w:instrText xml:space="preserve"> PAGE   \* MERGEFORMAT </w:instrText>
    </w:r>
    <w:r w:rsidRPr="00131B78">
      <w:rPr>
        <w:caps/>
        <w:color w:val="4F81BD" w:themeColor="accent1"/>
        <w:sz w:val="20"/>
        <w:szCs w:val="20"/>
      </w:rPr>
      <w:fldChar w:fldCharType="separate"/>
    </w:r>
    <w:r w:rsidR="00802E72">
      <w:rPr>
        <w:caps/>
        <w:noProof/>
        <w:color w:val="4F81BD" w:themeColor="accent1"/>
        <w:sz w:val="20"/>
        <w:szCs w:val="20"/>
      </w:rPr>
      <w:t>8</w:t>
    </w:r>
    <w:r w:rsidRPr="00131B78">
      <w:rPr>
        <w:caps/>
        <w:noProof/>
        <w:color w:val="4F81BD" w:themeColor="accent1"/>
        <w:sz w:val="20"/>
        <w:szCs w:val="20"/>
      </w:rPr>
      <w:fldChar w:fldCharType="end"/>
    </w:r>
  </w:p>
  <w:p w14:paraId="16DDB699" w14:textId="77777777" w:rsidR="003D6E4F" w:rsidRDefault="003D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9FEC" w14:textId="77777777" w:rsidR="00FE23A7" w:rsidRDefault="00FE23A7" w:rsidP="0026414F">
      <w:r>
        <w:separator/>
      </w:r>
    </w:p>
  </w:footnote>
  <w:footnote w:type="continuationSeparator" w:id="0">
    <w:p w14:paraId="57105F9F" w14:textId="77777777" w:rsidR="00FE23A7" w:rsidRDefault="00FE23A7" w:rsidP="0026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FB"/>
    <w:multiLevelType w:val="hybridMultilevel"/>
    <w:tmpl w:val="F4667E58"/>
    <w:lvl w:ilvl="0" w:tplc="2328FFEE">
      <w:start w:val="6"/>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FFA1CB1"/>
    <w:multiLevelType w:val="multilevel"/>
    <w:tmpl w:val="E978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49BB"/>
    <w:multiLevelType w:val="multilevel"/>
    <w:tmpl w:val="8CD66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615D5"/>
    <w:multiLevelType w:val="hybridMultilevel"/>
    <w:tmpl w:val="0ED08856"/>
    <w:lvl w:ilvl="0" w:tplc="3A124622">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4B96006B"/>
    <w:multiLevelType w:val="hybridMultilevel"/>
    <w:tmpl w:val="928694A8"/>
    <w:lvl w:ilvl="0" w:tplc="CFF0C164">
      <w:start w:val="4"/>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56FD662C"/>
    <w:multiLevelType w:val="hybridMultilevel"/>
    <w:tmpl w:val="34A2AF0A"/>
    <w:lvl w:ilvl="0" w:tplc="C0F404A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062CA9"/>
    <w:multiLevelType w:val="hybridMultilevel"/>
    <w:tmpl w:val="6D2E1102"/>
    <w:lvl w:ilvl="0" w:tplc="5D7269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3335E5"/>
    <w:multiLevelType w:val="hybridMultilevel"/>
    <w:tmpl w:val="0F221226"/>
    <w:lvl w:ilvl="0" w:tplc="5DF86812">
      <w:start w:val="3"/>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7E1C3DC0"/>
    <w:multiLevelType w:val="hybridMultilevel"/>
    <w:tmpl w:val="5A6C54EC"/>
    <w:lvl w:ilvl="0" w:tplc="F2B6F6C4">
      <w:start w:val="5"/>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7FE13AA3"/>
    <w:multiLevelType w:val="hybridMultilevel"/>
    <w:tmpl w:val="4A0AB10C"/>
    <w:lvl w:ilvl="0" w:tplc="21FC32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9"/>
  </w:num>
  <w:num w:numId="2">
    <w:abstractNumId w:val="7"/>
  </w:num>
  <w:num w:numId="3">
    <w:abstractNumId w:val="0"/>
  </w:num>
  <w:num w:numId="4">
    <w:abstractNumId w:val="6"/>
  </w:num>
  <w:num w:numId="5">
    <w:abstractNumId w:val="8"/>
  </w:num>
  <w:num w:numId="6">
    <w:abstractNumId w:val="3"/>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36"/>
    <w:rsid w:val="000101B5"/>
    <w:rsid w:val="00011032"/>
    <w:rsid w:val="00020A13"/>
    <w:rsid w:val="00024210"/>
    <w:rsid w:val="000260D3"/>
    <w:rsid w:val="0003336A"/>
    <w:rsid w:val="00041873"/>
    <w:rsid w:val="000433D9"/>
    <w:rsid w:val="000458D9"/>
    <w:rsid w:val="0005190B"/>
    <w:rsid w:val="00057744"/>
    <w:rsid w:val="00057CC9"/>
    <w:rsid w:val="0006529C"/>
    <w:rsid w:val="00067134"/>
    <w:rsid w:val="00080AEB"/>
    <w:rsid w:val="0008632F"/>
    <w:rsid w:val="00087155"/>
    <w:rsid w:val="0009182D"/>
    <w:rsid w:val="0009360F"/>
    <w:rsid w:val="000978AC"/>
    <w:rsid w:val="000A4AA5"/>
    <w:rsid w:val="000A6EA8"/>
    <w:rsid w:val="000B3357"/>
    <w:rsid w:val="000B4328"/>
    <w:rsid w:val="000B5D93"/>
    <w:rsid w:val="000C3FEE"/>
    <w:rsid w:val="000C5823"/>
    <w:rsid w:val="000C5A4B"/>
    <w:rsid w:val="000D54FD"/>
    <w:rsid w:val="000E02E9"/>
    <w:rsid w:val="000E045C"/>
    <w:rsid w:val="000E2E5B"/>
    <w:rsid w:val="000E40D2"/>
    <w:rsid w:val="000E42C6"/>
    <w:rsid w:val="000F71D2"/>
    <w:rsid w:val="00103B20"/>
    <w:rsid w:val="0010594E"/>
    <w:rsid w:val="001123B8"/>
    <w:rsid w:val="00114A15"/>
    <w:rsid w:val="00117138"/>
    <w:rsid w:val="00117E4A"/>
    <w:rsid w:val="00123ECC"/>
    <w:rsid w:val="00125A27"/>
    <w:rsid w:val="00131B78"/>
    <w:rsid w:val="001330CA"/>
    <w:rsid w:val="0013445D"/>
    <w:rsid w:val="00134F94"/>
    <w:rsid w:val="0014222A"/>
    <w:rsid w:val="00150C81"/>
    <w:rsid w:val="001547D8"/>
    <w:rsid w:val="0015680C"/>
    <w:rsid w:val="0015692E"/>
    <w:rsid w:val="00162286"/>
    <w:rsid w:val="00165EF7"/>
    <w:rsid w:val="00171A99"/>
    <w:rsid w:val="00172274"/>
    <w:rsid w:val="0017229A"/>
    <w:rsid w:val="0017751B"/>
    <w:rsid w:val="001823E8"/>
    <w:rsid w:val="00182FD4"/>
    <w:rsid w:val="00187317"/>
    <w:rsid w:val="00187734"/>
    <w:rsid w:val="001958A1"/>
    <w:rsid w:val="0019740D"/>
    <w:rsid w:val="001B0134"/>
    <w:rsid w:val="001B34BA"/>
    <w:rsid w:val="001B49B2"/>
    <w:rsid w:val="001D36D7"/>
    <w:rsid w:val="001D7BF6"/>
    <w:rsid w:val="001D7FD9"/>
    <w:rsid w:val="001E17B3"/>
    <w:rsid w:val="001E187D"/>
    <w:rsid w:val="001E6449"/>
    <w:rsid w:val="001F4689"/>
    <w:rsid w:val="002009F8"/>
    <w:rsid w:val="00200A45"/>
    <w:rsid w:val="00203557"/>
    <w:rsid w:val="00210464"/>
    <w:rsid w:val="00216314"/>
    <w:rsid w:val="00216467"/>
    <w:rsid w:val="002173EC"/>
    <w:rsid w:val="0022167C"/>
    <w:rsid w:val="0023175D"/>
    <w:rsid w:val="00231CE1"/>
    <w:rsid w:val="00242080"/>
    <w:rsid w:val="00245D13"/>
    <w:rsid w:val="00247BC3"/>
    <w:rsid w:val="0025173F"/>
    <w:rsid w:val="00252152"/>
    <w:rsid w:val="00252BA4"/>
    <w:rsid w:val="002544AF"/>
    <w:rsid w:val="00255B06"/>
    <w:rsid w:val="00256BCE"/>
    <w:rsid w:val="002612B7"/>
    <w:rsid w:val="0026414F"/>
    <w:rsid w:val="00266527"/>
    <w:rsid w:val="00266A7F"/>
    <w:rsid w:val="00271A70"/>
    <w:rsid w:val="00273592"/>
    <w:rsid w:val="00284F7B"/>
    <w:rsid w:val="0028721B"/>
    <w:rsid w:val="002875B4"/>
    <w:rsid w:val="00290ACF"/>
    <w:rsid w:val="00296619"/>
    <w:rsid w:val="002967FE"/>
    <w:rsid w:val="002A07C8"/>
    <w:rsid w:val="002A1CBF"/>
    <w:rsid w:val="002A62C7"/>
    <w:rsid w:val="002A62CF"/>
    <w:rsid w:val="002B224A"/>
    <w:rsid w:val="002B2D55"/>
    <w:rsid w:val="002B3867"/>
    <w:rsid w:val="002B4957"/>
    <w:rsid w:val="002B4A92"/>
    <w:rsid w:val="002D1919"/>
    <w:rsid w:val="002D505B"/>
    <w:rsid w:val="002E6D6B"/>
    <w:rsid w:val="002F25B5"/>
    <w:rsid w:val="00300ABC"/>
    <w:rsid w:val="00302508"/>
    <w:rsid w:val="00302AFC"/>
    <w:rsid w:val="0030518C"/>
    <w:rsid w:val="003053BB"/>
    <w:rsid w:val="003063A6"/>
    <w:rsid w:val="00311B72"/>
    <w:rsid w:val="00317894"/>
    <w:rsid w:val="003234B8"/>
    <w:rsid w:val="003241AA"/>
    <w:rsid w:val="003404A2"/>
    <w:rsid w:val="0034398D"/>
    <w:rsid w:val="003454D0"/>
    <w:rsid w:val="00351C78"/>
    <w:rsid w:val="00354CBD"/>
    <w:rsid w:val="00372427"/>
    <w:rsid w:val="00373FB0"/>
    <w:rsid w:val="00380680"/>
    <w:rsid w:val="00380A4D"/>
    <w:rsid w:val="00381AF7"/>
    <w:rsid w:val="00382325"/>
    <w:rsid w:val="00386A87"/>
    <w:rsid w:val="003A3CD8"/>
    <w:rsid w:val="003A7C0B"/>
    <w:rsid w:val="003B5EC7"/>
    <w:rsid w:val="003C4FF9"/>
    <w:rsid w:val="003C5810"/>
    <w:rsid w:val="003C620F"/>
    <w:rsid w:val="003C77EE"/>
    <w:rsid w:val="003D1752"/>
    <w:rsid w:val="003D6E4F"/>
    <w:rsid w:val="003E56B2"/>
    <w:rsid w:val="003E6B9B"/>
    <w:rsid w:val="003F087E"/>
    <w:rsid w:val="003F1DFC"/>
    <w:rsid w:val="003F4A9B"/>
    <w:rsid w:val="003F63E8"/>
    <w:rsid w:val="00402D53"/>
    <w:rsid w:val="00402F9C"/>
    <w:rsid w:val="00417CB4"/>
    <w:rsid w:val="00425C65"/>
    <w:rsid w:val="00427C1A"/>
    <w:rsid w:val="00431673"/>
    <w:rsid w:val="0043295A"/>
    <w:rsid w:val="0043561F"/>
    <w:rsid w:val="0043598C"/>
    <w:rsid w:val="0043624E"/>
    <w:rsid w:val="0044251F"/>
    <w:rsid w:val="00445652"/>
    <w:rsid w:val="004456F2"/>
    <w:rsid w:val="00452737"/>
    <w:rsid w:val="00462AE6"/>
    <w:rsid w:val="00464F01"/>
    <w:rsid w:val="004703E2"/>
    <w:rsid w:val="0047205E"/>
    <w:rsid w:val="0047234B"/>
    <w:rsid w:val="00474BA6"/>
    <w:rsid w:val="004808DC"/>
    <w:rsid w:val="004834AB"/>
    <w:rsid w:val="004A6CEE"/>
    <w:rsid w:val="004B07E7"/>
    <w:rsid w:val="004B19E9"/>
    <w:rsid w:val="004B7AEB"/>
    <w:rsid w:val="004C5C10"/>
    <w:rsid w:val="004D04DB"/>
    <w:rsid w:val="004D0AD9"/>
    <w:rsid w:val="004D0BEA"/>
    <w:rsid w:val="004D5E67"/>
    <w:rsid w:val="004E1104"/>
    <w:rsid w:val="004E1E54"/>
    <w:rsid w:val="004E2A92"/>
    <w:rsid w:val="004E5498"/>
    <w:rsid w:val="004F4C4E"/>
    <w:rsid w:val="004F664C"/>
    <w:rsid w:val="004F71F6"/>
    <w:rsid w:val="00504538"/>
    <w:rsid w:val="00506AC7"/>
    <w:rsid w:val="005106AB"/>
    <w:rsid w:val="00512791"/>
    <w:rsid w:val="005129CF"/>
    <w:rsid w:val="005200F6"/>
    <w:rsid w:val="00522BDE"/>
    <w:rsid w:val="00524282"/>
    <w:rsid w:val="00534AF3"/>
    <w:rsid w:val="005373B2"/>
    <w:rsid w:val="00547BEB"/>
    <w:rsid w:val="00551921"/>
    <w:rsid w:val="0055364D"/>
    <w:rsid w:val="0056124E"/>
    <w:rsid w:val="00564DCA"/>
    <w:rsid w:val="005664D6"/>
    <w:rsid w:val="0056681A"/>
    <w:rsid w:val="00566ECE"/>
    <w:rsid w:val="00572811"/>
    <w:rsid w:val="005765C5"/>
    <w:rsid w:val="0059168C"/>
    <w:rsid w:val="00595B5A"/>
    <w:rsid w:val="005A27BF"/>
    <w:rsid w:val="005B15E1"/>
    <w:rsid w:val="005B6A67"/>
    <w:rsid w:val="005E3B56"/>
    <w:rsid w:val="005E546D"/>
    <w:rsid w:val="005E7163"/>
    <w:rsid w:val="005F038E"/>
    <w:rsid w:val="005F19D1"/>
    <w:rsid w:val="0060627F"/>
    <w:rsid w:val="006063FE"/>
    <w:rsid w:val="006143F1"/>
    <w:rsid w:val="00621B3B"/>
    <w:rsid w:val="00625EFC"/>
    <w:rsid w:val="006314BD"/>
    <w:rsid w:val="00633126"/>
    <w:rsid w:val="00635DDC"/>
    <w:rsid w:val="006450B9"/>
    <w:rsid w:val="006464A5"/>
    <w:rsid w:val="00652C88"/>
    <w:rsid w:val="006653E6"/>
    <w:rsid w:val="0067121A"/>
    <w:rsid w:val="006747DE"/>
    <w:rsid w:val="00691F80"/>
    <w:rsid w:val="006954AC"/>
    <w:rsid w:val="006A01C5"/>
    <w:rsid w:val="006A198F"/>
    <w:rsid w:val="006A4B52"/>
    <w:rsid w:val="006A4D2A"/>
    <w:rsid w:val="006C52F1"/>
    <w:rsid w:val="006C740D"/>
    <w:rsid w:val="006D3CCE"/>
    <w:rsid w:val="006D3D8D"/>
    <w:rsid w:val="006D6E1F"/>
    <w:rsid w:val="006E1182"/>
    <w:rsid w:val="006E11A6"/>
    <w:rsid w:val="006F0803"/>
    <w:rsid w:val="006F1992"/>
    <w:rsid w:val="006F49B8"/>
    <w:rsid w:val="006F60A2"/>
    <w:rsid w:val="00701C3D"/>
    <w:rsid w:val="00712AAA"/>
    <w:rsid w:val="00713395"/>
    <w:rsid w:val="007160D6"/>
    <w:rsid w:val="00717574"/>
    <w:rsid w:val="00721D76"/>
    <w:rsid w:val="00727473"/>
    <w:rsid w:val="007303C9"/>
    <w:rsid w:val="00731B77"/>
    <w:rsid w:val="00740427"/>
    <w:rsid w:val="007455BE"/>
    <w:rsid w:val="007466EE"/>
    <w:rsid w:val="007515F5"/>
    <w:rsid w:val="00751806"/>
    <w:rsid w:val="00755D24"/>
    <w:rsid w:val="00756287"/>
    <w:rsid w:val="00772FE2"/>
    <w:rsid w:val="0077376F"/>
    <w:rsid w:val="00773DF8"/>
    <w:rsid w:val="007755A8"/>
    <w:rsid w:val="0078142B"/>
    <w:rsid w:val="00791E90"/>
    <w:rsid w:val="007944DA"/>
    <w:rsid w:val="00794FFF"/>
    <w:rsid w:val="007A0097"/>
    <w:rsid w:val="007A70D6"/>
    <w:rsid w:val="007A76E5"/>
    <w:rsid w:val="007B491F"/>
    <w:rsid w:val="007D1C99"/>
    <w:rsid w:val="007D3BDB"/>
    <w:rsid w:val="007E4FC1"/>
    <w:rsid w:val="007E6AA3"/>
    <w:rsid w:val="007F6B03"/>
    <w:rsid w:val="00802E72"/>
    <w:rsid w:val="00804590"/>
    <w:rsid w:val="00807527"/>
    <w:rsid w:val="0081180F"/>
    <w:rsid w:val="00817D8B"/>
    <w:rsid w:val="00834D50"/>
    <w:rsid w:val="00840623"/>
    <w:rsid w:val="0084085F"/>
    <w:rsid w:val="00862788"/>
    <w:rsid w:val="00863733"/>
    <w:rsid w:val="008660D8"/>
    <w:rsid w:val="008675D2"/>
    <w:rsid w:val="00872449"/>
    <w:rsid w:val="00875EF6"/>
    <w:rsid w:val="00885BFF"/>
    <w:rsid w:val="008965BD"/>
    <w:rsid w:val="00896998"/>
    <w:rsid w:val="00897D23"/>
    <w:rsid w:val="008A0D7F"/>
    <w:rsid w:val="008A243B"/>
    <w:rsid w:val="008A57C4"/>
    <w:rsid w:val="008A739F"/>
    <w:rsid w:val="008B34FC"/>
    <w:rsid w:val="008B41AE"/>
    <w:rsid w:val="008B5D87"/>
    <w:rsid w:val="008C08E6"/>
    <w:rsid w:val="008C257A"/>
    <w:rsid w:val="008E1C05"/>
    <w:rsid w:val="008E3328"/>
    <w:rsid w:val="008E588E"/>
    <w:rsid w:val="008F35C6"/>
    <w:rsid w:val="008F38A2"/>
    <w:rsid w:val="008F69D8"/>
    <w:rsid w:val="009043AE"/>
    <w:rsid w:val="009128B7"/>
    <w:rsid w:val="00913840"/>
    <w:rsid w:val="0092170B"/>
    <w:rsid w:val="009269C9"/>
    <w:rsid w:val="00927116"/>
    <w:rsid w:val="009370EE"/>
    <w:rsid w:val="00945C81"/>
    <w:rsid w:val="00952932"/>
    <w:rsid w:val="00953AB1"/>
    <w:rsid w:val="00957650"/>
    <w:rsid w:val="00964AB7"/>
    <w:rsid w:val="00970545"/>
    <w:rsid w:val="0097165F"/>
    <w:rsid w:val="00976FDF"/>
    <w:rsid w:val="00977A5A"/>
    <w:rsid w:val="0098199E"/>
    <w:rsid w:val="009A0C96"/>
    <w:rsid w:val="009A3E10"/>
    <w:rsid w:val="009A4E4F"/>
    <w:rsid w:val="009B1BF6"/>
    <w:rsid w:val="009B2383"/>
    <w:rsid w:val="009B75BA"/>
    <w:rsid w:val="009C2AB8"/>
    <w:rsid w:val="009C50B9"/>
    <w:rsid w:val="009C55FF"/>
    <w:rsid w:val="009C76A0"/>
    <w:rsid w:val="009D3888"/>
    <w:rsid w:val="009D66E3"/>
    <w:rsid w:val="009D701D"/>
    <w:rsid w:val="009F650C"/>
    <w:rsid w:val="00A024DD"/>
    <w:rsid w:val="00A14F8B"/>
    <w:rsid w:val="00A17550"/>
    <w:rsid w:val="00A23FF3"/>
    <w:rsid w:val="00A24D5C"/>
    <w:rsid w:val="00A30936"/>
    <w:rsid w:val="00A31C67"/>
    <w:rsid w:val="00A32AB4"/>
    <w:rsid w:val="00A337A4"/>
    <w:rsid w:val="00A35900"/>
    <w:rsid w:val="00A35C7D"/>
    <w:rsid w:val="00A40F96"/>
    <w:rsid w:val="00A41512"/>
    <w:rsid w:val="00A42D66"/>
    <w:rsid w:val="00A45F85"/>
    <w:rsid w:val="00A57AE5"/>
    <w:rsid w:val="00A67CD2"/>
    <w:rsid w:val="00A70CEF"/>
    <w:rsid w:val="00A803DD"/>
    <w:rsid w:val="00A825FB"/>
    <w:rsid w:val="00A83591"/>
    <w:rsid w:val="00A8527B"/>
    <w:rsid w:val="00A85364"/>
    <w:rsid w:val="00A87719"/>
    <w:rsid w:val="00A90987"/>
    <w:rsid w:val="00A933CF"/>
    <w:rsid w:val="00A96737"/>
    <w:rsid w:val="00AA263D"/>
    <w:rsid w:val="00AB50A8"/>
    <w:rsid w:val="00AB77E2"/>
    <w:rsid w:val="00AC2C81"/>
    <w:rsid w:val="00AC5926"/>
    <w:rsid w:val="00AD0763"/>
    <w:rsid w:val="00AD1300"/>
    <w:rsid w:val="00AE3AF8"/>
    <w:rsid w:val="00AE72F3"/>
    <w:rsid w:val="00AF03B6"/>
    <w:rsid w:val="00B00B77"/>
    <w:rsid w:val="00B0113C"/>
    <w:rsid w:val="00B16C01"/>
    <w:rsid w:val="00B213FE"/>
    <w:rsid w:val="00B2385B"/>
    <w:rsid w:val="00B30FF1"/>
    <w:rsid w:val="00B42BCA"/>
    <w:rsid w:val="00B4675E"/>
    <w:rsid w:val="00B471C0"/>
    <w:rsid w:val="00B47967"/>
    <w:rsid w:val="00B548F1"/>
    <w:rsid w:val="00B56E86"/>
    <w:rsid w:val="00B60609"/>
    <w:rsid w:val="00B607F4"/>
    <w:rsid w:val="00B60901"/>
    <w:rsid w:val="00B679FA"/>
    <w:rsid w:val="00B75542"/>
    <w:rsid w:val="00B80023"/>
    <w:rsid w:val="00B80E9B"/>
    <w:rsid w:val="00B837E8"/>
    <w:rsid w:val="00B927EF"/>
    <w:rsid w:val="00B92F5F"/>
    <w:rsid w:val="00BA2CBC"/>
    <w:rsid w:val="00BB34C5"/>
    <w:rsid w:val="00BC3C4D"/>
    <w:rsid w:val="00BD418D"/>
    <w:rsid w:val="00BE58FF"/>
    <w:rsid w:val="00BE6457"/>
    <w:rsid w:val="00BF21EE"/>
    <w:rsid w:val="00BF2C83"/>
    <w:rsid w:val="00BF7454"/>
    <w:rsid w:val="00C02856"/>
    <w:rsid w:val="00C14202"/>
    <w:rsid w:val="00C14741"/>
    <w:rsid w:val="00C202C2"/>
    <w:rsid w:val="00C248E1"/>
    <w:rsid w:val="00C27BE6"/>
    <w:rsid w:val="00C30F1B"/>
    <w:rsid w:val="00C33F4C"/>
    <w:rsid w:val="00C41202"/>
    <w:rsid w:val="00C42CAC"/>
    <w:rsid w:val="00C43498"/>
    <w:rsid w:val="00C44F64"/>
    <w:rsid w:val="00C50E19"/>
    <w:rsid w:val="00C664A5"/>
    <w:rsid w:val="00C66780"/>
    <w:rsid w:val="00C67B6E"/>
    <w:rsid w:val="00C74DF2"/>
    <w:rsid w:val="00C7506D"/>
    <w:rsid w:val="00C76796"/>
    <w:rsid w:val="00C77EF8"/>
    <w:rsid w:val="00C82CE6"/>
    <w:rsid w:val="00C870EC"/>
    <w:rsid w:val="00C92364"/>
    <w:rsid w:val="00C92EC6"/>
    <w:rsid w:val="00C9490A"/>
    <w:rsid w:val="00CB0B84"/>
    <w:rsid w:val="00CB3C6D"/>
    <w:rsid w:val="00CC567B"/>
    <w:rsid w:val="00CC5836"/>
    <w:rsid w:val="00CD79C6"/>
    <w:rsid w:val="00CE008E"/>
    <w:rsid w:val="00CE0F72"/>
    <w:rsid w:val="00CE1512"/>
    <w:rsid w:val="00CE59A0"/>
    <w:rsid w:val="00CF1E5C"/>
    <w:rsid w:val="00CF33C6"/>
    <w:rsid w:val="00D07228"/>
    <w:rsid w:val="00D15040"/>
    <w:rsid w:val="00D16242"/>
    <w:rsid w:val="00D2279A"/>
    <w:rsid w:val="00D3324B"/>
    <w:rsid w:val="00D360EE"/>
    <w:rsid w:val="00D40FED"/>
    <w:rsid w:val="00D41331"/>
    <w:rsid w:val="00D43DDF"/>
    <w:rsid w:val="00D45428"/>
    <w:rsid w:val="00D456CA"/>
    <w:rsid w:val="00D518BD"/>
    <w:rsid w:val="00D631C0"/>
    <w:rsid w:val="00D636AE"/>
    <w:rsid w:val="00D71FF5"/>
    <w:rsid w:val="00D74741"/>
    <w:rsid w:val="00D77555"/>
    <w:rsid w:val="00D82567"/>
    <w:rsid w:val="00D82B9B"/>
    <w:rsid w:val="00D94012"/>
    <w:rsid w:val="00DB61C9"/>
    <w:rsid w:val="00DB6F74"/>
    <w:rsid w:val="00DC1FB2"/>
    <w:rsid w:val="00DC3460"/>
    <w:rsid w:val="00DC6B3A"/>
    <w:rsid w:val="00DD0C0C"/>
    <w:rsid w:val="00DE09B1"/>
    <w:rsid w:val="00DE51AD"/>
    <w:rsid w:val="00E050AA"/>
    <w:rsid w:val="00E11563"/>
    <w:rsid w:val="00E12310"/>
    <w:rsid w:val="00E137AB"/>
    <w:rsid w:val="00E13825"/>
    <w:rsid w:val="00E17A9E"/>
    <w:rsid w:val="00E2371B"/>
    <w:rsid w:val="00E32F62"/>
    <w:rsid w:val="00E340E8"/>
    <w:rsid w:val="00E355A9"/>
    <w:rsid w:val="00E356D0"/>
    <w:rsid w:val="00E44B8F"/>
    <w:rsid w:val="00E44FBD"/>
    <w:rsid w:val="00E5057B"/>
    <w:rsid w:val="00E52E64"/>
    <w:rsid w:val="00E564A1"/>
    <w:rsid w:val="00E57BDE"/>
    <w:rsid w:val="00E614AF"/>
    <w:rsid w:val="00E62632"/>
    <w:rsid w:val="00E641C7"/>
    <w:rsid w:val="00E65EA7"/>
    <w:rsid w:val="00E702EF"/>
    <w:rsid w:val="00E72400"/>
    <w:rsid w:val="00E83326"/>
    <w:rsid w:val="00E90CE5"/>
    <w:rsid w:val="00E92919"/>
    <w:rsid w:val="00E96185"/>
    <w:rsid w:val="00EA0A27"/>
    <w:rsid w:val="00EA4E6E"/>
    <w:rsid w:val="00EA4ED2"/>
    <w:rsid w:val="00EB6DC7"/>
    <w:rsid w:val="00EC2756"/>
    <w:rsid w:val="00ED1440"/>
    <w:rsid w:val="00ED4E7C"/>
    <w:rsid w:val="00ED66CF"/>
    <w:rsid w:val="00EE6C9C"/>
    <w:rsid w:val="00EF0E73"/>
    <w:rsid w:val="00EF5FB6"/>
    <w:rsid w:val="00EF6286"/>
    <w:rsid w:val="00EF779A"/>
    <w:rsid w:val="00EF7F84"/>
    <w:rsid w:val="00F007A6"/>
    <w:rsid w:val="00F00A9F"/>
    <w:rsid w:val="00F00C2C"/>
    <w:rsid w:val="00F04817"/>
    <w:rsid w:val="00F13261"/>
    <w:rsid w:val="00F22DD6"/>
    <w:rsid w:val="00F24B38"/>
    <w:rsid w:val="00F262C7"/>
    <w:rsid w:val="00F27FB7"/>
    <w:rsid w:val="00F307BC"/>
    <w:rsid w:val="00F34146"/>
    <w:rsid w:val="00F37512"/>
    <w:rsid w:val="00F37A10"/>
    <w:rsid w:val="00F4165F"/>
    <w:rsid w:val="00F47383"/>
    <w:rsid w:val="00F54499"/>
    <w:rsid w:val="00F574FE"/>
    <w:rsid w:val="00F63595"/>
    <w:rsid w:val="00F644C4"/>
    <w:rsid w:val="00F700F3"/>
    <w:rsid w:val="00F72662"/>
    <w:rsid w:val="00F76E4F"/>
    <w:rsid w:val="00F8365C"/>
    <w:rsid w:val="00F917BD"/>
    <w:rsid w:val="00F92E2B"/>
    <w:rsid w:val="00FA03B3"/>
    <w:rsid w:val="00FA20D5"/>
    <w:rsid w:val="00FA2206"/>
    <w:rsid w:val="00FA3369"/>
    <w:rsid w:val="00FA3DA5"/>
    <w:rsid w:val="00FB016F"/>
    <w:rsid w:val="00FB6080"/>
    <w:rsid w:val="00FB60C4"/>
    <w:rsid w:val="00FC68B7"/>
    <w:rsid w:val="00FD7AC0"/>
    <w:rsid w:val="00FD7F3E"/>
    <w:rsid w:val="00FE0AE4"/>
    <w:rsid w:val="00FE1CE3"/>
    <w:rsid w:val="00FE23A7"/>
    <w:rsid w:val="00FE69D7"/>
    <w:rsid w:val="00FE739D"/>
    <w:rsid w:val="00FF1D56"/>
    <w:rsid w:val="00FF314D"/>
    <w:rsid w:val="00FF7375"/>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562"/>
  <w15:docId w15:val="{07A1D845-03E9-4971-9846-A0784D8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36"/>
  </w:style>
  <w:style w:type="paragraph" w:styleId="Heading1">
    <w:name w:val="heading 1"/>
    <w:basedOn w:val="Normal"/>
    <w:next w:val="Normal"/>
    <w:link w:val="Heading1Char"/>
    <w:uiPriority w:val="9"/>
    <w:qFormat/>
    <w:rsid w:val="000B3357"/>
    <w:pPr>
      <w:keepNext/>
      <w:spacing w:before="240" w:after="60" w:line="259" w:lineRule="auto"/>
      <w:jc w:val="left"/>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D74741"/>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40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39D"/>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8A243B"/>
    <w:pPr>
      <w:ind w:left="720"/>
      <w:contextualSpacing/>
    </w:pPr>
  </w:style>
  <w:style w:type="paragraph" w:styleId="BalloonText">
    <w:name w:val="Balloon Text"/>
    <w:basedOn w:val="Normal"/>
    <w:link w:val="BalloonTextChar"/>
    <w:uiPriority w:val="99"/>
    <w:semiHidden/>
    <w:unhideWhenUsed/>
    <w:rsid w:val="00D51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BD"/>
    <w:rPr>
      <w:rFonts w:ascii="Segoe UI" w:hAnsi="Segoe UI" w:cs="Segoe UI"/>
      <w:sz w:val="18"/>
      <w:szCs w:val="18"/>
    </w:rPr>
  </w:style>
  <w:style w:type="paragraph" w:styleId="Header">
    <w:name w:val="header"/>
    <w:basedOn w:val="Normal"/>
    <w:link w:val="HeaderChar"/>
    <w:uiPriority w:val="99"/>
    <w:unhideWhenUsed/>
    <w:rsid w:val="0026414F"/>
    <w:pPr>
      <w:tabs>
        <w:tab w:val="center" w:pos="4680"/>
        <w:tab w:val="right" w:pos="9360"/>
      </w:tabs>
    </w:pPr>
  </w:style>
  <w:style w:type="character" w:customStyle="1" w:styleId="HeaderChar">
    <w:name w:val="Header Char"/>
    <w:basedOn w:val="DefaultParagraphFont"/>
    <w:link w:val="Header"/>
    <w:uiPriority w:val="99"/>
    <w:rsid w:val="0026414F"/>
  </w:style>
  <w:style w:type="paragraph" w:styleId="Footer">
    <w:name w:val="footer"/>
    <w:basedOn w:val="Normal"/>
    <w:link w:val="FooterChar"/>
    <w:uiPriority w:val="99"/>
    <w:unhideWhenUsed/>
    <w:rsid w:val="0026414F"/>
    <w:pPr>
      <w:tabs>
        <w:tab w:val="center" w:pos="4680"/>
        <w:tab w:val="right" w:pos="9360"/>
      </w:tabs>
    </w:pPr>
  </w:style>
  <w:style w:type="character" w:customStyle="1" w:styleId="FooterChar">
    <w:name w:val="Footer Char"/>
    <w:basedOn w:val="DefaultParagraphFont"/>
    <w:link w:val="Footer"/>
    <w:uiPriority w:val="99"/>
    <w:rsid w:val="0026414F"/>
  </w:style>
  <w:style w:type="character" w:customStyle="1" w:styleId="Heading2Char">
    <w:name w:val="Heading 2 Char"/>
    <w:basedOn w:val="DefaultParagraphFont"/>
    <w:link w:val="Heading2"/>
    <w:uiPriority w:val="9"/>
    <w:rsid w:val="00D74741"/>
    <w:rPr>
      <w:rFonts w:eastAsia="Times New Roman" w:cs="Times New Roman"/>
      <w:b/>
      <w:bCs/>
      <w:sz w:val="36"/>
      <w:szCs w:val="36"/>
    </w:rPr>
  </w:style>
  <w:style w:type="character" w:styleId="Strong">
    <w:name w:val="Strong"/>
    <w:basedOn w:val="DefaultParagraphFont"/>
    <w:uiPriority w:val="22"/>
    <w:qFormat/>
    <w:rsid w:val="00D74741"/>
    <w:rPr>
      <w:b/>
      <w:bCs/>
    </w:rPr>
  </w:style>
  <w:style w:type="character" w:styleId="Hyperlink">
    <w:name w:val="Hyperlink"/>
    <w:basedOn w:val="DefaultParagraphFont"/>
    <w:uiPriority w:val="99"/>
    <w:unhideWhenUsed/>
    <w:rsid w:val="00D74741"/>
    <w:rPr>
      <w:color w:val="0000FF"/>
      <w:u w:val="single"/>
    </w:rPr>
  </w:style>
  <w:style w:type="character" w:customStyle="1" w:styleId="apple-style-span">
    <w:name w:val="apple-style-span"/>
    <w:rsid w:val="005B15E1"/>
  </w:style>
  <w:style w:type="character" w:customStyle="1" w:styleId="Heading3Char">
    <w:name w:val="Heading 3 Char"/>
    <w:basedOn w:val="DefaultParagraphFont"/>
    <w:link w:val="Heading3"/>
    <w:uiPriority w:val="9"/>
    <w:semiHidden/>
    <w:rsid w:val="00740427"/>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B3357"/>
    <w:rPr>
      <w:rFonts w:ascii="Calibri Light" w:eastAsia="Times New Roman" w:hAnsi="Calibri Light" w:cs="Times New Roman"/>
      <w:b/>
      <w:bCs/>
      <w:kern w:val="32"/>
      <w:sz w:val="32"/>
      <w:szCs w:val="32"/>
    </w:rPr>
  </w:style>
  <w:style w:type="character" w:styleId="Emphasis">
    <w:name w:val="Emphasis"/>
    <w:uiPriority w:val="20"/>
    <w:qFormat/>
    <w:rsid w:val="00103B20"/>
    <w:rPr>
      <w:i/>
      <w:iCs/>
    </w:rPr>
  </w:style>
  <w:style w:type="paragraph" w:customStyle="1" w:styleId="p1">
    <w:name w:val="p1"/>
    <w:basedOn w:val="Normal"/>
    <w:rsid w:val="00D16242"/>
    <w:pPr>
      <w:spacing w:before="100" w:beforeAutospacing="1" w:after="100" w:afterAutospacing="1"/>
      <w:jc w:val="left"/>
    </w:pPr>
    <w:rPr>
      <w:rFonts w:eastAsia="Calibri" w:cs="Times New Roman"/>
      <w:sz w:val="24"/>
      <w:szCs w:val="24"/>
    </w:rPr>
  </w:style>
  <w:style w:type="paragraph" w:customStyle="1" w:styleId="p2">
    <w:name w:val="p2"/>
    <w:basedOn w:val="Normal"/>
    <w:rsid w:val="00D16242"/>
    <w:pPr>
      <w:spacing w:before="100" w:beforeAutospacing="1" w:after="100" w:afterAutospacing="1"/>
      <w:jc w:val="left"/>
    </w:pPr>
    <w:rPr>
      <w:rFonts w:eastAsia="Calibri" w:cs="Times New Roman"/>
      <w:sz w:val="24"/>
      <w:szCs w:val="24"/>
    </w:rPr>
  </w:style>
  <w:style w:type="paragraph" w:customStyle="1" w:styleId="p4">
    <w:name w:val="p4"/>
    <w:basedOn w:val="Normal"/>
    <w:rsid w:val="00D16242"/>
    <w:pPr>
      <w:spacing w:before="100" w:beforeAutospacing="1" w:after="100" w:afterAutospacing="1"/>
      <w:jc w:val="left"/>
    </w:pPr>
    <w:rPr>
      <w:rFonts w:eastAsia="Calibri" w:cs="Times New Roman"/>
      <w:sz w:val="24"/>
      <w:szCs w:val="24"/>
    </w:rPr>
  </w:style>
  <w:style w:type="character" w:customStyle="1" w:styleId="s1">
    <w:name w:val="s1"/>
    <w:rsid w:val="00D16242"/>
  </w:style>
  <w:style w:type="character" w:customStyle="1" w:styleId="s2">
    <w:name w:val="s2"/>
    <w:rsid w:val="00D16242"/>
  </w:style>
  <w:style w:type="paragraph" w:customStyle="1" w:styleId="Default">
    <w:name w:val="Default"/>
    <w:rsid w:val="00273592"/>
    <w:pPr>
      <w:autoSpaceDE w:val="0"/>
      <w:autoSpaceDN w:val="0"/>
      <w:adjustRightInd w:val="0"/>
      <w:jc w:val="left"/>
    </w:pPr>
    <w:rPr>
      <w:rFonts w:cs="Times New Roman"/>
      <w:color w:val="000000"/>
      <w:sz w:val="24"/>
      <w:szCs w:val="24"/>
    </w:rPr>
  </w:style>
  <w:style w:type="paragraph" w:styleId="PlainText">
    <w:name w:val="Plain Text"/>
    <w:basedOn w:val="Normal"/>
    <w:link w:val="PlainTextChar"/>
    <w:uiPriority w:val="99"/>
    <w:semiHidden/>
    <w:unhideWhenUsed/>
    <w:rsid w:val="00A35C7D"/>
    <w:pPr>
      <w:jc w:val="left"/>
    </w:pPr>
    <w:rPr>
      <w:rFonts w:ascii="Calibri"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A35C7D"/>
    <w:rPr>
      <w:rFonts w:ascii="Calibri"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172">
      <w:bodyDiv w:val="1"/>
      <w:marLeft w:val="0"/>
      <w:marRight w:val="0"/>
      <w:marTop w:val="0"/>
      <w:marBottom w:val="0"/>
      <w:divBdr>
        <w:top w:val="none" w:sz="0" w:space="0" w:color="auto"/>
        <w:left w:val="none" w:sz="0" w:space="0" w:color="auto"/>
        <w:bottom w:val="none" w:sz="0" w:space="0" w:color="auto"/>
        <w:right w:val="none" w:sz="0" w:space="0" w:color="auto"/>
      </w:divBdr>
    </w:div>
    <w:div w:id="238171039">
      <w:bodyDiv w:val="1"/>
      <w:marLeft w:val="0"/>
      <w:marRight w:val="0"/>
      <w:marTop w:val="0"/>
      <w:marBottom w:val="0"/>
      <w:divBdr>
        <w:top w:val="none" w:sz="0" w:space="0" w:color="auto"/>
        <w:left w:val="none" w:sz="0" w:space="0" w:color="auto"/>
        <w:bottom w:val="none" w:sz="0" w:space="0" w:color="auto"/>
        <w:right w:val="none" w:sz="0" w:space="0" w:color="auto"/>
      </w:divBdr>
    </w:div>
    <w:div w:id="440732454">
      <w:bodyDiv w:val="1"/>
      <w:marLeft w:val="0"/>
      <w:marRight w:val="0"/>
      <w:marTop w:val="0"/>
      <w:marBottom w:val="0"/>
      <w:divBdr>
        <w:top w:val="none" w:sz="0" w:space="0" w:color="auto"/>
        <w:left w:val="none" w:sz="0" w:space="0" w:color="auto"/>
        <w:bottom w:val="none" w:sz="0" w:space="0" w:color="auto"/>
        <w:right w:val="none" w:sz="0" w:space="0" w:color="auto"/>
      </w:divBdr>
      <w:divsChild>
        <w:div w:id="240724258">
          <w:marLeft w:val="0"/>
          <w:marRight w:val="0"/>
          <w:marTop w:val="0"/>
          <w:marBottom w:val="0"/>
          <w:divBdr>
            <w:top w:val="none" w:sz="0" w:space="0" w:color="auto"/>
            <w:left w:val="none" w:sz="0" w:space="0" w:color="auto"/>
            <w:bottom w:val="none" w:sz="0" w:space="0" w:color="auto"/>
            <w:right w:val="none" w:sz="0" w:space="0" w:color="auto"/>
          </w:divBdr>
        </w:div>
        <w:div w:id="160463583">
          <w:marLeft w:val="0"/>
          <w:marRight w:val="0"/>
          <w:marTop w:val="0"/>
          <w:marBottom w:val="0"/>
          <w:divBdr>
            <w:top w:val="none" w:sz="0" w:space="0" w:color="auto"/>
            <w:left w:val="none" w:sz="0" w:space="0" w:color="auto"/>
            <w:bottom w:val="none" w:sz="0" w:space="0" w:color="auto"/>
            <w:right w:val="none" w:sz="0" w:space="0" w:color="auto"/>
          </w:divBdr>
          <w:divsChild>
            <w:div w:id="559749102">
              <w:marLeft w:val="0"/>
              <w:marRight w:val="0"/>
              <w:marTop w:val="0"/>
              <w:marBottom w:val="300"/>
              <w:divBdr>
                <w:top w:val="none" w:sz="0" w:space="0" w:color="auto"/>
                <w:left w:val="none" w:sz="0" w:space="0" w:color="auto"/>
                <w:bottom w:val="none" w:sz="0" w:space="0" w:color="auto"/>
                <w:right w:val="none" w:sz="0" w:space="0" w:color="auto"/>
              </w:divBdr>
              <w:divsChild>
                <w:div w:id="1277176662">
                  <w:marLeft w:val="0"/>
                  <w:marRight w:val="0"/>
                  <w:marTop w:val="0"/>
                  <w:marBottom w:val="0"/>
                  <w:divBdr>
                    <w:top w:val="none" w:sz="0" w:space="0" w:color="auto"/>
                    <w:left w:val="none" w:sz="0" w:space="0" w:color="auto"/>
                    <w:bottom w:val="none" w:sz="0" w:space="0" w:color="auto"/>
                    <w:right w:val="none" w:sz="0" w:space="0" w:color="auto"/>
                  </w:divBdr>
                  <w:divsChild>
                    <w:div w:id="482745318">
                      <w:marLeft w:val="0"/>
                      <w:marRight w:val="0"/>
                      <w:marTop w:val="0"/>
                      <w:marBottom w:val="0"/>
                      <w:divBdr>
                        <w:top w:val="none" w:sz="0" w:space="0" w:color="auto"/>
                        <w:left w:val="none" w:sz="0" w:space="0" w:color="auto"/>
                        <w:bottom w:val="none" w:sz="0" w:space="0" w:color="auto"/>
                        <w:right w:val="none" w:sz="0" w:space="0" w:color="auto"/>
                      </w:divBdr>
                    </w:div>
                    <w:div w:id="1160120257">
                      <w:marLeft w:val="0"/>
                      <w:marRight w:val="0"/>
                      <w:marTop w:val="0"/>
                      <w:marBottom w:val="0"/>
                      <w:divBdr>
                        <w:top w:val="none" w:sz="0" w:space="0" w:color="auto"/>
                        <w:left w:val="none" w:sz="0" w:space="0" w:color="auto"/>
                        <w:bottom w:val="none" w:sz="0" w:space="0" w:color="auto"/>
                        <w:right w:val="none" w:sz="0" w:space="0" w:color="auto"/>
                      </w:divBdr>
                    </w:div>
                    <w:div w:id="1955792499">
                      <w:marLeft w:val="0"/>
                      <w:marRight w:val="0"/>
                      <w:marTop w:val="0"/>
                      <w:marBottom w:val="0"/>
                      <w:divBdr>
                        <w:top w:val="none" w:sz="0" w:space="0" w:color="auto"/>
                        <w:left w:val="none" w:sz="0" w:space="0" w:color="auto"/>
                        <w:bottom w:val="none" w:sz="0" w:space="0" w:color="auto"/>
                        <w:right w:val="none" w:sz="0" w:space="0" w:color="auto"/>
                      </w:divBdr>
                    </w:div>
                    <w:div w:id="1921593715">
                      <w:marLeft w:val="0"/>
                      <w:marRight w:val="0"/>
                      <w:marTop w:val="0"/>
                      <w:marBottom w:val="0"/>
                      <w:divBdr>
                        <w:top w:val="none" w:sz="0" w:space="0" w:color="auto"/>
                        <w:left w:val="none" w:sz="0" w:space="0" w:color="auto"/>
                        <w:bottom w:val="none" w:sz="0" w:space="0" w:color="auto"/>
                        <w:right w:val="none" w:sz="0" w:space="0" w:color="auto"/>
                      </w:divBdr>
                    </w:div>
                    <w:div w:id="4729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2939">
      <w:bodyDiv w:val="1"/>
      <w:marLeft w:val="0"/>
      <w:marRight w:val="0"/>
      <w:marTop w:val="0"/>
      <w:marBottom w:val="0"/>
      <w:divBdr>
        <w:top w:val="none" w:sz="0" w:space="0" w:color="auto"/>
        <w:left w:val="none" w:sz="0" w:space="0" w:color="auto"/>
        <w:bottom w:val="none" w:sz="0" w:space="0" w:color="auto"/>
        <w:right w:val="none" w:sz="0" w:space="0" w:color="auto"/>
      </w:divBdr>
    </w:div>
    <w:div w:id="945382819">
      <w:bodyDiv w:val="1"/>
      <w:marLeft w:val="0"/>
      <w:marRight w:val="0"/>
      <w:marTop w:val="0"/>
      <w:marBottom w:val="0"/>
      <w:divBdr>
        <w:top w:val="none" w:sz="0" w:space="0" w:color="auto"/>
        <w:left w:val="none" w:sz="0" w:space="0" w:color="auto"/>
        <w:bottom w:val="none" w:sz="0" w:space="0" w:color="auto"/>
        <w:right w:val="none" w:sz="0" w:space="0" w:color="auto"/>
      </w:divBdr>
    </w:div>
    <w:div w:id="976423174">
      <w:bodyDiv w:val="1"/>
      <w:marLeft w:val="0"/>
      <w:marRight w:val="0"/>
      <w:marTop w:val="0"/>
      <w:marBottom w:val="0"/>
      <w:divBdr>
        <w:top w:val="none" w:sz="0" w:space="0" w:color="auto"/>
        <w:left w:val="none" w:sz="0" w:space="0" w:color="auto"/>
        <w:bottom w:val="none" w:sz="0" w:space="0" w:color="auto"/>
        <w:right w:val="none" w:sz="0" w:space="0" w:color="auto"/>
      </w:divBdr>
    </w:div>
    <w:div w:id="1113401580">
      <w:bodyDiv w:val="1"/>
      <w:marLeft w:val="0"/>
      <w:marRight w:val="0"/>
      <w:marTop w:val="0"/>
      <w:marBottom w:val="0"/>
      <w:divBdr>
        <w:top w:val="none" w:sz="0" w:space="0" w:color="auto"/>
        <w:left w:val="none" w:sz="0" w:space="0" w:color="auto"/>
        <w:bottom w:val="none" w:sz="0" w:space="0" w:color="auto"/>
        <w:right w:val="none" w:sz="0" w:space="0" w:color="auto"/>
      </w:divBdr>
    </w:div>
    <w:div w:id="1265653258">
      <w:bodyDiv w:val="1"/>
      <w:marLeft w:val="0"/>
      <w:marRight w:val="0"/>
      <w:marTop w:val="0"/>
      <w:marBottom w:val="0"/>
      <w:divBdr>
        <w:top w:val="none" w:sz="0" w:space="0" w:color="auto"/>
        <w:left w:val="none" w:sz="0" w:space="0" w:color="auto"/>
        <w:bottom w:val="none" w:sz="0" w:space="0" w:color="auto"/>
        <w:right w:val="none" w:sz="0" w:space="0" w:color="auto"/>
      </w:divBdr>
    </w:div>
    <w:div w:id="1273056755">
      <w:bodyDiv w:val="1"/>
      <w:marLeft w:val="0"/>
      <w:marRight w:val="0"/>
      <w:marTop w:val="0"/>
      <w:marBottom w:val="0"/>
      <w:divBdr>
        <w:top w:val="none" w:sz="0" w:space="0" w:color="auto"/>
        <w:left w:val="none" w:sz="0" w:space="0" w:color="auto"/>
        <w:bottom w:val="none" w:sz="0" w:space="0" w:color="auto"/>
        <w:right w:val="none" w:sz="0" w:space="0" w:color="auto"/>
      </w:divBdr>
    </w:div>
    <w:div w:id="1293706727">
      <w:bodyDiv w:val="1"/>
      <w:marLeft w:val="0"/>
      <w:marRight w:val="0"/>
      <w:marTop w:val="0"/>
      <w:marBottom w:val="0"/>
      <w:divBdr>
        <w:top w:val="none" w:sz="0" w:space="0" w:color="auto"/>
        <w:left w:val="none" w:sz="0" w:space="0" w:color="auto"/>
        <w:bottom w:val="none" w:sz="0" w:space="0" w:color="auto"/>
        <w:right w:val="none" w:sz="0" w:space="0" w:color="auto"/>
      </w:divBdr>
    </w:div>
    <w:div w:id="1349719906">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 w:id="1608350456">
      <w:bodyDiv w:val="1"/>
      <w:marLeft w:val="0"/>
      <w:marRight w:val="0"/>
      <w:marTop w:val="0"/>
      <w:marBottom w:val="0"/>
      <w:divBdr>
        <w:top w:val="none" w:sz="0" w:space="0" w:color="auto"/>
        <w:left w:val="none" w:sz="0" w:space="0" w:color="auto"/>
        <w:bottom w:val="none" w:sz="0" w:space="0" w:color="auto"/>
        <w:right w:val="none" w:sz="0" w:space="0" w:color="auto"/>
      </w:divBdr>
    </w:div>
    <w:div w:id="1624386593">
      <w:bodyDiv w:val="1"/>
      <w:marLeft w:val="0"/>
      <w:marRight w:val="0"/>
      <w:marTop w:val="0"/>
      <w:marBottom w:val="0"/>
      <w:divBdr>
        <w:top w:val="none" w:sz="0" w:space="0" w:color="auto"/>
        <w:left w:val="none" w:sz="0" w:space="0" w:color="auto"/>
        <w:bottom w:val="none" w:sz="0" w:space="0" w:color="auto"/>
        <w:right w:val="none" w:sz="0" w:space="0" w:color="auto"/>
      </w:divBdr>
    </w:div>
    <w:div w:id="1640647919">
      <w:bodyDiv w:val="1"/>
      <w:marLeft w:val="0"/>
      <w:marRight w:val="0"/>
      <w:marTop w:val="0"/>
      <w:marBottom w:val="0"/>
      <w:divBdr>
        <w:top w:val="none" w:sz="0" w:space="0" w:color="auto"/>
        <w:left w:val="none" w:sz="0" w:space="0" w:color="auto"/>
        <w:bottom w:val="none" w:sz="0" w:space="0" w:color="auto"/>
        <w:right w:val="none" w:sz="0" w:space="0" w:color="auto"/>
      </w:divBdr>
    </w:div>
    <w:div w:id="1684817307">
      <w:bodyDiv w:val="1"/>
      <w:marLeft w:val="0"/>
      <w:marRight w:val="0"/>
      <w:marTop w:val="0"/>
      <w:marBottom w:val="0"/>
      <w:divBdr>
        <w:top w:val="none" w:sz="0" w:space="0" w:color="auto"/>
        <w:left w:val="none" w:sz="0" w:space="0" w:color="auto"/>
        <w:bottom w:val="none" w:sz="0" w:space="0" w:color="auto"/>
        <w:right w:val="none" w:sz="0" w:space="0" w:color="auto"/>
      </w:divBdr>
    </w:div>
    <w:div w:id="1771469478">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901279879">
      <w:bodyDiv w:val="1"/>
      <w:marLeft w:val="0"/>
      <w:marRight w:val="0"/>
      <w:marTop w:val="0"/>
      <w:marBottom w:val="0"/>
      <w:divBdr>
        <w:top w:val="none" w:sz="0" w:space="0" w:color="auto"/>
        <w:left w:val="none" w:sz="0" w:space="0" w:color="auto"/>
        <w:bottom w:val="none" w:sz="0" w:space="0" w:color="auto"/>
        <w:right w:val="none" w:sz="0" w:space="0" w:color="auto"/>
      </w:divBdr>
    </w:div>
    <w:div w:id="1926105591">
      <w:bodyDiv w:val="1"/>
      <w:marLeft w:val="0"/>
      <w:marRight w:val="0"/>
      <w:marTop w:val="0"/>
      <w:marBottom w:val="0"/>
      <w:divBdr>
        <w:top w:val="none" w:sz="0" w:space="0" w:color="auto"/>
        <w:left w:val="none" w:sz="0" w:space="0" w:color="auto"/>
        <w:bottom w:val="none" w:sz="0" w:space="0" w:color="auto"/>
        <w:right w:val="none" w:sz="0" w:space="0" w:color="auto"/>
      </w:divBdr>
    </w:div>
    <w:div w:id="21256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4-2023-ND-CP-muc-luong-co-so-can-bo-cong-vien-chuc-luc-luong-vu-trang-432518.aspx?anchor=dieu_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ink.thuvienphapluat.vn/Redirect.aspx?us=2029491&amp;tl=8331&amp;re===hSMGNITTZMeTkwYUhWMmFXVnVjR2hoY0d4MVlYUXVkbTR2ZG1GdUxXSmhiaTlNWVc4dFpHOXVaeTFVYVdWdUxXeDFiMjVuTDA1bmFHa3RaR2x1YUMweU5DMHlNREl6TFU1RUxVTlFMVzExWXkxc2RXOXVaeTFqYnkxemJ5MWpZVzR0WW04dFkyOXVaeTEyYVdWdUxXTm9kV010YkhWakxXeDFiMjVuTFhaMUxYUnlZVzVuTFRRek1qVXhPQzVoYzNCNAYU" TargetMode="External"/><Relationship Id="rId12" Type="http://schemas.openxmlformats.org/officeDocument/2006/relationships/hyperlink" Target="https://thuvienphapluat.vn/van-ban/Bao-hiem/Luat-Bao-hiem-xa-hoi-2014-25970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chinh-nha-nuoc/Nghi-quyet-69-2022-QH15-du-toan-ngan-sach-nha-nuoc-2023-541860.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Lao-dong-Tien-luong/Nghi-dinh-38-2019-ND-CP-muc-luong-co-so-doi-voi-can-bo-cong-chuc-vien-chuc-va-luc-luong-vu-trang-403576.aspx" TargetMode="External"/><Relationship Id="rId4" Type="http://schemas.openxmlformats.org/officeDocument/2006/relationships/webSettings" Target="webSettings.xml"/><Relationship Id="rId9" Type="http://schemas.openxmlformats.org/officeDocument/2006/relationships/hyperlink" Target="https://thuvienphapluat.vn/van-ban/Bao-hiem/Luat-Bao-hiem-xa-hoi-2014-25970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phuongpt</dc:creator>
  <cp:lastModifiedBy>Nguyen Van Sy</cp:lastModifiedBy>
  <cp:revision>71</cp:revision>
  <cp:lastPrinted>2023-07-17T03:22:00Z</cp:lastPrinted>
  <dcterms:created xsi:type="dcterms:W3CDTF">2023-07-13T12:21:00Z</dcterms:created>
  <dcterms:modified xsi:type="dcterms:W3CDTF">2023-07-17T09:40:00Z</dcterms:modified>
</cp:coreProperties>
</file>